
<file path=[Content_Types].xml><?xml version="1.0" encoding="utf-8"?>
<Types xmlns="http://schemas.openxmlformats.org/package/2006/content-types">
  <Override PartName="/_rels/.rels" ContentType="application/vnd.openxmlformats-package.relationship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settings.xml" ContentType="application/vnd.openxmlformats-officedocument.wordprocessingml.settings+xml"/>
  <Override PartName="/word/document.xml" ContentType="application/vnd.openxmlformats-officedocument.wordprocessingml.document.main+xml"/>
  <Override PartName="/word/media/image1.png" ContentType="image/png"/>
  <Override PartName="/word/footer1.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76"/>
        <w:jc w:val="center"/>
        <w:rPr>
          <w:rFonts w:cs="Arial"/>
          <w:b/>
          <w:b/>
          <w:bCs/>
          <w:i/>
          <w:i/>
          <w:iCs/>
          <w:color w:val="FF0000"/>
          <w:szCs w:val="20"/>
        </w:rPr>
      </w:pPr>
      <w:r>
        <w:rPr>
          <w:rFonts w:cs="Arial"/>
          <w:b/>
          <w:bCs/>
          <w:i/>
          <w:iCs/>
          <w:color w:val="FF0000"/>
          <w:szCs w:val="20"/>
        </w:rPr>
      </w:r>
    </w:p>
    <w:p>
      <w:pPr>
        <w:pStyle w:val="Normal"/>
        <w:spacing w:lineRule="auto" w:line="276"/>
        <w:jc w:val="center"/>
        <w:rPr>
          <w:rFonts w:cs="Arial"/>
          <w:b/>
          <w:b/>
          <w:bCs/>
          <w:i/>
          <w:i/>
          <w:iCs/>
          <w:color w:val="FF0000"/>
          <w:szCs w:val="20"/>
        </w:rPr>
      </w:pPr>
      <w:r>
        <w:rPr>
          <w:rFonts w:cs="Arial"/>
          <w:b/>
          <w:bCs/>
          <w:i/>
          <w:iCs/>
          <w:color w:val="FF0000"/>
          <w:szCs w:val="20"/>
        </w:rPr>
        <w:drawing>
          <wp:anchor behindDoc="0" distT="0" distB="6350" distL="114935" distR="114935" simplePos="0" locked="0" layoutInCell="1" allowOverlap="1" relativeHeight="2">
            <wp:simplePos x="0" y="0"/>
            <wp:positionH relativeFrom="margin">
              <wp:align>center</wp:align>
            </wp:positionH>
            <wp:positionV relativeFrom="paragraph">
              <wp:posOffset>635</wp:posOffset>
            </wp:positionV>
            <wp:extent cx="900430" cy="889000"/>
            <wp:effectExtent l="0" t="0" r="0" b="0"/>
            <wp:wrapNone/>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2"/>
                    <a:srcRect l="-79" t="-80" r="-79" b="-80"/>
                    <a:stretch>
                      <a:fillRect/>
                    </a:stretch>
                  </pic:blipFill>
                  <pic:spPr bwMode="auto">
                    <a:xfrm>
                      <a:off x="0" y="0"/>
                      <a:ext cx="900430" cy="889000"/>
                    </a:xfrm>
                    <a:prstGeom prst="rect">
                      <a:avLst/>
                    </a:prstGeom>
                  </pic:spPr>
                </pic:pic>
              </a:graphicData>
            </a:graphic>
          </wp:anchor>
        </w:drawing>
      </w:r>
    </w:p>
    <w:p>
      <w:pPr>
        <w:pStyle w:val="Normal"/>
        <w:spacing w:lineRule="auto" w:line="276"/>
        <w:jc w:val="center"/>
        <w:rPr>
          <w:rFonts w:cs="Arial"/>
          <w:b/>
          <w:b/>
          <w:bCs/>
          <w:i/>
          <w:i/>
          <w:iCs/>
          <w:color w:val="FF0000"/>
          <w:szCs w:val="20"/>
        </w:rPr>
      </w:pPr>
      <w:r>
        <w:rPr>
          <w:rFonts w:cs="Arial"/>
          <w:b/>
          <w:bCs/>
          <w:i/>
          <w:iCs/>
          <w:color w:val="FF0000"/>
          <w:szCs w:val="20"/>
        </w:rPr>
      </w:r>
    </w:p>
    <w:p>
      <w:pPr>
        <w:pStyle w:val="Normal"/>
        <w:spacing w:lineRule="auto" w:line="276"/>
        <w:jc w:val="center"/>
        <w:rPr>
          <w:rFonts w:cs="Arial"/>
          <w:b/>
          <w:b/>
          <w:bCs/>
          <w:i/>
          <w:i/>
          <w:iCs/>
          <w:color w:val="FF0000"/>
          <w:szCs w:val="20"/>
        </w:rPr>
      </w:pPr>
      <w:r>
        <w:rPr>
          <w:rFonts w:cs="Arial"/>
          <w:b/>
          <w:bCs/>
          <w:i/>
          <w:iCs/>
          <w:color w:val="FF0000"/>
          <w:szCs w:val="20"/>
        </w:rPr>
      </w:r>
    </w:p>
    <w:p>
      <w:pPr>
        <w:pStyle w:val="Normal"/>
        <w:spacing w:lineRule="auto" w:line="276"/>
        <w:jc w:val="center"/>
        <w:rPr>
          <w:rFonts w:cs="Arial"/>
          <w:b/>
          <w:b/>
          <w:bCs/>
          <w:i/>
          <w:i/>
          <w:iCs/>
          <w:color w:val="FF0000"/>
          <w:szCs w:val="20"/>
        </w:rPr>
      </w:pPr>
      <w:r>
        <w:rPr>
          <w:rFonts w:cs="Arial"/>
          <w:b/>
          <w:bCs/>
          <w:i/>
          <w:iCs/>
          <w:color w:val="FF0000"/>
          <w:szCs w:val="20"/>
        </w:rPr>
      </w:r>
    </w:p>
    <w:p>
      <w:pPr>
        <w:pStyle w:val="Normal"/>
        <w:spacing w:lineRule="auto" w:line="276"/>
        <w:jc w:val="center"/>
        <w:rPr>
          <w:rFonts w:cs="Arial"/>
          <w:b/>
          <w:b/>
          <w:bCs/>
          <w:i/>
          <w:i/>
          <w:iCs/>
          <w:color w:val="FF0000"/>
          <w:szCs w:val="20"/>
        </w:rPr>
      </w:pPr>
      <w:r>
        <w:rPr>
          <w:rFonts w:cs="Arial"/>
          <w:b/>
          <w:bCs/>
          <w:i/>
          <w:iCs/>
          <w:color w:val="FF0000"/>
          <w:szCs w:val="20"/>
        </w:rPr>
      </w:r>
    </w:p>
    <w:p>
      <w:pPr>
        <w:pStyle w:val="Normal"/>
        <w:spacing w:lineRule="auto" w:line="276"/>
        <w:jc w:val="center"/>
        <w:rPr>
          <w:rFonts w:cs="Arial"/>
          <w:b/>
          <w:b/>
          <w:bCs/>
          <w:i/>
          <w:i/>
          <w:iCs/>
          <w:color w:val="FF0000"/>
          <w:szCs w:val="20"/>
        </w:rPr>
      </w:pPr>
      <w:r>
        <w:rPr>
          <w:rFonts w:cs="Arial"/>
          <w:b/>
          <w:bCs/>
          <w:i/>
          <w:iCs/>
          <w:color w:val="FF0000"/>
          <w:szCs w:val="20"/>
        </w:rPr>
      </w:r>
    </w:p>
    <w:p>
      <w:pPr>
        <w:pStyle w:val="Normal"/>
        <w:ind w:left="0" w:right="-30" w:hanging="0"/>
        <w:jc w:val="center"/>
        <w:rPr>
          <w:rFonts w:ascii="Times New Roman" w:hAnsi="Times New Roman" w:cs="Times New Roman"/>
          <w:b/>
          <w:b/>
          <w:sz w:val="22"/>
          <w:szCs w:val="22"/>
          <w:lang w:eastAsia="en-US"/>
        </w:rPr>
      </w:pPr>
      <w:r>
        <w:rPr>
          <w:rFonts w:cs="Times New Roman" w:ascii="Times New Roman" w:hAnsi="Times New Roman"/>
          <w:b/>
          <w:sz w:val="22"/>
          <w:szCs w:val="22"/>
          <w:lang w:eastAsia="en-US"/>
        </w:rPr>
        <w:t>MINISTÉRIO DA DEFESA</w:t>
      </w:r>
    </w:p>
    <w:p>
      <w:pPr>
        <w:pStyle w:val="Normal"/>
        <w:ind w:left="0" w:right="-30" w:hanging="0"/>
        <w:jc w:val="center"/>
        <w:rPr>
          <w:rFonts w:ascii="Times New Roman" w:hAnsi="Times New Roman" w:cs="Times New Roman"/>
          <w:b/>
          <w:b/>
          <w:sz w:val="22"/>
          <w:szCs w:val="22"/>
          <w:lang w:eastAsia="en-US"/>
        </w:rPr>
      </w:pPr>
      <w:r>
        <w:rPr>
          <w:rFonts w:cs="Times New Roman" w:ascii="Times New Roman" w:hAnsi="Times New Roman"/>
          <w:b/>
          <w:sz w:val="22"/>
          <w:szCs w:val="22"/>
          <w:lang w:eastAsia="en-US"/>
        </w:rPr>
        <w:t>EXÉRCITO BRASILEIRO</w:t>
      </w:r>
    </w:p>
    <w:p>
      <w:pPr>
        <w:pStyle w:val="Normal"/>
        <w:ind w:left="0" w:right="-30" w:hanging="0"/>
        <w:jc w:val="center"/>
        <w:rPr>
          <w:rFonts w:ascii="Times New Roman" w:hAnsi="Times New Roman" w:cs="Times New Roman"/>
          <w:b/>
          <w:b/>
          <w:sz w:val="22"/>
          <w:szCs w:val="22"/>
          <w:lang w:eastAsia="en-US"/>
        </w:rPr>
      </w:pPr>
      <w:r>
        <w:rPr>
          <w:rFonts w:cs="Times New Roman" w:ascii="Times New Roman" w:hAnsi="Times New Roman"/>
          <w:b/>
          <w:sz w:val="22"/>
          <w:szCs w:val="22"/>
          <w:lang w:eastAsia="en-US"/>
        </w:rPr>
        <w:t>4º BATALHÃO DE AVIAÇÃO DO EXÉRCITO</w:t>
      </w:r>
    </w:p>
    <w:p>
      <w:pPr>
        <w:pStyle w:val="Normal"/>
        <w:ind w:left="357" w:right="-30" w:hanging="0"/>
        <w:jc w:val="center"/>
        <w:rPr/>
      </w:pPr>
      <w:r>
        <w:rPr>
          <w:rFonts w:cs="Times New Roman" w:ascii="Times New Roman" w:hAnsi="Times New Roman"/>
          <w:b/>
          <w:sz w:val="22"/>
          <w:szCs w:val="22"/>
          <w:lang w:eastAsia="en-US"/>
        </w:rPr>
        <w:t>(</w:t>
      </w:r>
      <w:r>
        <w:rPr>
          <w:rFonts w:cs="Times New Roman" w:ascii="Times New Roman" w:hAnsi="Times New Roman"/>
          <w:b/>
          <w:i/>
          <w:iCs/>
          <w:sz w:val="22"/>
          <w:szCs w:val="22"/>
          <w:lang w:eastAsia="en-US"/>
        </w:rPr>
        <w:t>ESQUADRÃO CORONEL RICARDO PAVANELLO</w:t>
      </w:r>
      <w:r>
        <w:rPr>
          <w:rFonts w:cs="Times New Roman" w:ascii="Times New Roman" w:hAnsi="Times New Roman"/>
          <w:b/>
          <w:sz w:val="22"/>
          <w:szCs w:val="22"/>
          <w:lang w:eastAsia="en-US"/>
        </w:rPr>
        <w:t>)</w:t>
      </w:r>
    </w:p>
    <w:p>
      <w:pPr>
        <w:pStyle w:val="Normal"/>
        <w:spacing w:lineRule="auto" w:line="276"/>
        <w:jc w:val="center"/>
        <w:rPr>
          <w:rFonts w:cs="Arial"/>
          <w:b/>
          <w:b/>
          <w:bCs/>
          <w:color w:val="000000"/>
          <w:szCs w:val="20"/>
        </w:rPr>
      </w:pPr>
      <w:r>
        <w:rPr>
          <w:rFonts w:cs="Arial"/>
          <w:b/>
          <w:bCs/>
          <w:color w:val="000000"/>
          <w:szCs w:val="20"/>
        </w:rPr>
        <w:t>AVISO DE DISPENSA ELETRÔNICA Nº 37/2022</w:t>
      </w:r>
    </w:p>
    <w:p>
      <w:pPr>
        <w:pStyle w:val="Normal"/>
        <w:spacing w:lineRule="auto" w:line="276" w:before="0" w:after="120"/>
        <w:ind w:left="0" w:right="-15" w:hanging="0"/>
        <w:jc w:val="center"/>
        <w:rPr/>
      </w:pPr>
      <w:r>
        <w:rPr>
          <w:rFonts w:cs="Arial"/>
          <w:b/>
          <w:bCs/>
          <w:color w:val="000000"/>
          <w:szCs w:val="20"/>
        </w:rPr>
        <w:t xml:space="preserve">(Processo Administrativo n° </w:t>
      </w:r>
      <w:r>
        <w:rPr>
          <w:b/>
          <w:w w:val="105"/>
          <w:position w:val="1"/>
        </w:rPr>
        <w:t>64020.002430/2022-24</w:t>
      </w:r>
      <w:r>
        <w:rPr>
          <w:rFonts w:cs="Arial"/>
          <w:b/>
          <w:bCs/>
          <w:color w:val="000000"/>
          <w:szCs w:val="20"/>
        </w:rPr>
        <w:t>)</w:t>
      </w:r>
    </w:p>
    <w:p>
      <w:pPr>
        <w:pStyle w:val="Normal"/>
        <w:rPr>
          <w:rFonts w:cs="Arial"/>
        </w:rPr>
      </w:pPr>
      <w:r>
        <w:rPr>
          <w:rFonts w:cs="Arial"/>
        </w:rPr>
      </w:r>
    </w:p>
    <w:p>
      <w:pPr>
        <w:pStyle w:val="Normal"/>
        <w:snapToGrid w:val="false"/>
        <w:spacing w:lineRule="auto" w:line="276" w:before="0" w:after="120"/>
        <w:ind w:left="0" w:right="-30" w:firstLine="540"/>
        <w:jc w:val="both"/>
        <w:rPr/>
      </w:pPr>
      <w:r>
        <w:rPr>
          <w:rFonts w:cs="Arial"/>
          <w:color w:val="000000"/>
          <w:szCs w:val="20"/>
        </w:rPr>
        <w:t xml:space="preserve">Torna-se público que o (a) </w:t>
      </w:r>
      <w:r>
        <w:rPr>
          <w:rFonts w:eastAsia="Arial" w:cs="Arial"/>
          <w:color w:val="000000"/>
          <w:szCs w:val="20"/>
        </w:rPr>
        <w:t>4° BATALHÃO DE AVIAÇÃO DO EXÉRCITO - 4° BAvEx</w:t>
      </w:r>
      <w:r>
        <w:rPr>
          <w:rFonts w:cs="Arial"/>
          <w:color w:val="000000"/>
          <w:szCs w:val="20"/>
        </w:rPr>
        <w:t xml:space="preserve">, por meio do(a) </w:t>
      </w:r>
      <w:r>
        <w:rPr>
          <w:rFonts w:eastAsia="Arial" w:cs="Arial"/>
          <w:color w:val="000000"/>
          <w:szCs w:val="20"/>
        </w:rPr>
        <w:t>Seção de Aquisições, Licitações e Contratos</w:t>
      </w:r>
      <w:r>
        <w:rPr>
          <w:rFonts w:cs="Arial"/>
          <w:color w:val="000000"/>
          <w:szCs w:val="20"/>
        </w:rPr>
        <w:t xml:space="preserve">, realizará Dispensa Eletrônica, </w:t>
      </w:r>
      <w:r>
        <w:rPr>
          <w:rFonts w:cs="Arial"/>
          <w:bCs/>
          <w:color w:val="000000"/>
          <w:szCs w:val="20"/>
        </w:rPr>
        <w:t xml:space="preserve">com critério de julgamento </w:t>
      </w:r>
      <w:r>
        <w:rPr>
          <w:rFonts w:cs="Arial"/>
          <w:b/>
          <w:color w:val="000000"/>
          <w:szCs w:val="20"/>
        </w:rPr>
        <w:t>menor preço</w:t>
      </w:r>
      <w:r>
        <w:rPr>
          <w:rFonts w:cs="Arial"/>
          <w:b/>
          <w:bCs/>
          <w:color w:val="000000"/>
          <w:szCs w:val="20"/>
        </w:rPr>
        <w:t xml:space="preserve">, </w:t>
      </w:r>
      <w:r>
        <w:rPr>
          <w:rFonts w:cs="Arial"/>
          <w:color w:val="000000"/>
          <w:szCs w:val="20"/>
        </w:rPr>
        <w:t>na hipótese do art. 75</w:t>
      </w:r>
      <w:r>
        <w:rPr>
          <w:rFonts w:cs="Arial"/>
          <w:i/>
          <w:iCs/>
          <w:color w:val="000000"/>
          <w:szCs w:val="20"/>
        </w:rPr>
        <w:t xml:space="preserve">, </w:t>
      </w:r>
      <w:r>
        <w:rPr>
          <w:rFonts w:cs="Arial"/>
          <w:b/>
          <w:iCs/>
          <w:color w:val="000000"/>
          <w:szCs w:val="20"/>
        </w:rPr>
        <w:t>inciso  II</w:t>
      </w:r>
      <w:r>
        <w:rPr>
          <w:rFonts w:cs="Arial"/>
          <w:i/>
          <w:iCs/>
          <w:color w:val="000000"/>
          <w:szCs w:val="20"/>
        </w:rPr>
        <w:t xml:space="preserve">, </w:t>
      </w:r>
      <w:r>
        <w:rPr>
          <w:rFonts w:cs="Arial"/>
          <w:bCs/>
          <w:szCs w:val="20"/>
        </w:rPr>
        <w:t>nos termos da Lei nº 14.133, de 1º de abril de 2021, da Instrução Normativa SEGES/ME nº 67/2021 e demais legislação aplicável</w:t>
      </w:r>
      <w:r>
        <w:rPr>
          <w:rFonts w:cs="Arial"/>
          <w:color w:val="000000"/>
          <w:szCs w:val="20"/>
        </w:rPr>
        <w:t>.</w:t>
      </w:r>
    </w:p>
    <w:p>
      <w:pPr>
        <w:pStyle w:val="Normal"/>
        <w:spacing w:lineRule="auto" w:line="276"/>
        <w:jc w:val="both"/>
        <w:rPr/>
      </w:pPr>
      <w:r>
        <w:rPr>
          <w:rFonts w:cs="Arial"/>
          <w:color w:val="000000"/>
          <w:szCs w:val="20"/>
        </w:rPr>
        <w:t>Data da sessão: 26/05/2022</w:t>
      </w:r>
    </w:p>
    <w:p>
      <w:pPr>
        <w:pStyle w:val="Normal"/>
        <w:rPr>
          <w:rFonts w:cs="Arial"/>
          <w:color w:val="000000"/>
          <w:szCs w:val="20"/>
        </w:rPr>
      </w:pPr>
      <w:r>
        <w:rPr>
          <w:rFonts w:cs="Arial"/>
          <w:color w:val="000000"/>
          <w:szCs w:val="20"/>
        </w:rPr>
        <w:t>Link: www.comprasgovernamentais.gov.br</w:t>
      </w:r>
    </w:p>
    <w:p>
      <w:pPr>
        <w:pStyle w:val="Normal"/>
        <w:rPr>
          <w:rFonts w:cs="Arial"/>
          <w:color w:val="000000"/>
          <w:szCs w:val="20"/>
        </w:rPr>
      </w:pPr>
      <w:r>
        <w:rPr>
          <w:rFonts w:cs="Arial"/>
          <w:color w:val="000000"/>
          <w:szCs w:val="20"/>
        </w:rPr>
        <w:t>Horário da Fase de Lances: 8:00 (horário de Brasília)</w:t>
      </w:r>
    </w:p>
    <w:p>
      <w:pPr>
        <w:pStyle w:val="PADRO"/>
        <w:keepNext w:val="false"/>
        <w:widowControl/>
        <w:numPr>
          <w:ilvl w:val="0"/>
          <w:numId w:val="1"/>
        </w:numPr>
        <w:shd w:val="clear" w:fill="FFFFFF"/>
        <w:spacing w:before="120" w:after="120"/>
        <w:rPr>
          <w:rFonts w:ascii="Arial" w:hAnsi="Arial" w:cs="Arial"/>
          <w:b/>
          <w:b/>
        </w:rPr>
      </w:pPr>
      <w:r>
        <w:rPr>
          <w:rFonts w:cs="Arial" w:ascii="Arial" w:hAnsi="Arial"/>
          <w:b/>
        </w:rPr>
        <w:t>OBJETO DA CONTRATAÇÃO DIRETA</w:t>
      </w:r>
    </w:p>
    <w:p>
      <w:pPr>
        <w:pStyle w:val="PADRO"/>
        <w:keepNext w:val="false"/>
        <w:widowControl/>
        <w:numPr>
          <w:ilvl w:val="1"/>
          <w:numId w:val="1"/>
        </w:numPr>
        <w:shd w:val="clear" w:fill="FFFFFF"/>
        <w:spacing w:before="120" w:after="120"/>
        <w:rPr/>
      </w:pPr>
      <w:r>
        <w:rPr>
          <w:rFonts w:cs="Arial" w:ascii="Arial" w:hAnsi="Arial"/>
          <w:iCs/>
          <w:color w:val="000000"/>
          <w:szCs w:val="20"/>
        </w:rPr>
        <w:t>A contratação ocorrerá em item único</w:t>
      </w:r>
      <w:r>
        <w:rPr>
          <w:rFonts w:cs="Arial" w:ascii="Arial" w:hAnsi="Arial"/>
          <w:b/>
          <w:bCs/>
          <w:iCs/>
          <w:color w:val="000000"/>
          <w:szCs w:val="20"/>
        </w:rPr>
        <w:t>,</w:t>
      </w:r>
      <w:r>
        <w:rPr>
          <w:rFonts w:cs="Arial" w:ascii="Arial" w:hAnsi="Arial"/>
          <w:iCs/>
          <w:color w:val="000000"/>
          <w:szCs w:val="20"/>
        </w:rPr>
        <w:t xml:space="preserve"> conforme tabela constante abaixo</w:t>
      </w:r>
      <w:r>
        <w:rPr>
          <w:rFonts w:cs="Arial" w:ascii="Arial" w:hAnsi="Arial"/>
          <w:i/>
          <w:iCs/>
          <w:color w:val="FF0000"/>
          <w:szCs w:val="20"/>
        </w:rPr>
        <w:t>.</w:t>
      </w:r>
    </w:p>
    <w:tbl>
      <w:tblPr>
        <w:tblW w:w="10155" w:type="dxa"/>
        <w:jc w:val="left"/>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3" w:type="dxa"/>
          <w:bottom w:w="0" w:type="dxa"/>
          <w:right w:w="108" w:type="dxa"/>
        </w:tblCellMar>
      </w:tblPr>
      <w:tblGrid>
        <w:gridCol w:w="675"/>
        <w:gridCol w:w="4935"/>
        <w:gridCol w:w="1083"/>
        <w:gridCol w:w="566"/>
        <w:gridCol w:w="1537"/>
        <w:gridCol w:w="1358"/>
      </w:tblGrid>
      <w:tr>
        <w:trPr>
          <w:trHeight w:val="1064" w:hRule="atLeast"/>
        </w:trPr>
        <w:tc>
          <w:tcPr>
            <w:tcW w:w="67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F2F2F2" w:val="clear"/>
            <w:vAlign w:val="center"/>
          </w:tcPr>
          <w:p>
            <w:pPr>
              <w:pStyle w:val="Standard"/>
              <w:spacing w:lineRule="auto" w:line="240" w:before="0" w:after="0"/>
              <w:jc w:val="center"/>
              <w:rPr>
                <w:rFonts w:ascii="Times New Roman" w:hAnsi="Times New Roman" w:cs="Times New Roman"/>
                <w:b/>
                <w:b/>
              </w:rPr>
            </w:pPr>
            <w:r>
              <w:rPr>
                <w:rFonts w:cs="Times New Roman" w:ascii="Times New Roman" w:hAnsi="Times New Roman"/>
                <w:b/>
              </w:rPr>
              <w:t>Item</w:t>
            </w:r>
          </w:p>
        </w:tc>
        <w:tc>
          <w:tcPr>
            <w:tcW w:w="49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F2F2F2" w:val="clear"/>
            <w:vAlign w:val="center"/>
          </w:tcPr>
          <w:p>
            <w:pPr>
              <w:pStyle w:val="Standard"/>
              <w:spacing w:lineRule="auto" w:line="240" w:before="0" w:after="0"/>
              <w:jc w:val="center"/>
              <w:rPr>
                <w:rFonts w:ascii="Times New Roman" w:hAnsi="Times New Roman" w:cs="Times New Roman"/>
                <w:b/>
                <w:b/>
              </w:rPr>
            </w:pPr>
            <w:r>
              <w:rPr>
                <w:rFonts w:cs="Times New Roman" w:ascii="Times New Roman" w:hAnsi="Times New Roman"/>
                <w:b/>
              </w:rPr>
              <w:t>Descrição detalhada</w:t>
            </w:r>
          </w:p>
        </w:tc>
        <w:tc>
          <w:tcPr>
            <w:tcW w:w="108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F2F2F2" w:val="clear"/>
            <w:vAlign w:val="center"/>
          </w:tcPr>
          <w:p>
            <w:pPr>
              <w:pStyle w:val="Standard"/>
              <w:spacing w:lineRule="auto" w:line="240" w:before="0" w:after="0"/>
              <w:jc w:val="center"/>
              <w:rPr>
                <w:rFonts w:ascii="Times New Roman" w:hAnsi="Times New Roman" w:cs="Times New Roman"/>
                <w:b/>
                <w:b/>
              </w:rPr>
            </w:pPr>
            <w:r>
              <w:rPr>
                <w:rFonts w:cs="Times New Roman" w:ascii="Times New Roman" w:hAnsi="Times New Roman"/>
                <w:b/>
              </w:rPr>
              <w:t>Unidade</w:t>
            </w:r>
          </w:p>
        </w:tc>
        <w:tc>
          <w:tcPr>
            <w:tcW w:w="56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F2F2F2" w:val="clear"/>
            <w:vAlign w:val="center"/>
          </w:tcPr>
          <w:p>
            <w:pPr>
              <w:pStyle w:val="Standard"/>
              <w:spacing w:lineRule="auto" w:line="240" w:before="0" w:after="0"/>
              <w:jc w:val="center"/>
              <w:rPr>
                <w:rFonts w:ascii="Times New Roman" w:hAnsi="Times New Roman" w:cs="Times New Roman"/>
                <w:b/>
                <w:b/>
              </w:rPr>
            </w:pPr>
            <w:r>
              <w:rPr>
                <w:rFonts w:cs="Times New Roman" w:ascii="Times New Roman" w:hAnsi="Times New Roman"/>
                <w:b/>
              </w:rPr>
              <w:t>Qtd</w:t>
            </w:r>
          </w:p>
        </w:tc>
        <w:tc>
          <w:tcPr>
            <w:tcW w:w="153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F2F2F2" w:val="clear"/>
            <w:vAlign w:val="center"/>
          </w:tcPr>
          <w:p>
            <w:pPr>
              <w:pStyle w:val="Standard"/>
              <w:spacing w:lineRule="auto" w:line="240" w:before="0" w:after="0"/>
              <w:jc w:val="center"/>
              <w:rPr>
                <w:rFonts w:ascii="Times New Roman" w:hAnsi="Times New Roman" w:cs="Times New Roman"/>
                <w:b/>
                <w:b/>
              </w:rPr>
            </w:pPr>
            <w:r>
              <w:rPr>
                <w:rFonts w:cs="Times New Roman" w:ascii="Times New Roman" w:hAnsi="Times New Roman"/>
                <w:b/>
              </w:rPr>
              <w:t>Preço unitário de referência</w:t>
            </w:r>
          </w:p>
        </w:tc>
        <w:tc>
          <w:tcPr>
            <w:tcW w:w="135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F2F2F2" w:val="clear"/>
            <w:tcMar>
              <w:left w:w="-5" w:type="dxa"/>
              <w:right w:w="10" w:type="dxa"/>
            </w:tcMar>
            <w:vAlign w:val="center"/>
          </w:tcPr>
          <w:p>
            <w:pPr>
              <w:pStyle w:val="Standard"/>
              <w:spacing w:lineRule="auto" w:line="240" w:before="0" w:after="0"/>
              <w:jc w:val="center"/>
              <w:rPr>
                <w:rFonts w:ascii="Times New Roman" w:hAnsi="Times New Roman" w:cs="Times New Roman"/>
                <w:b/>
                <w:b/>
              </w:rPr>
            </w:pPr>
            <w:r>
              <w:rPr>
                <w:rFonts w:cs="Times New Roman" w:ascii="Times New Roman" w:hAnsi="Times New Roman"/>
                <w:b/>
              </w:rPr>
              <w:t>Preço total</w:t>
            </w:r>
          </w:p>
          <w:p>
            <w:pPr>
              <w:pStyle w:val="Standard"/>
              <w:spacing w:lineRule="auto" w:line="240" w:before="0" w:after="0"/>
              <w:jc w:val="center"/>
              <w:rPr>
                <w:rFonts w:ascii="Times New Roman" w:hAnsi="Times New Roman" w:cs="Times New Roman"/>
                <w:b/>
                <w:b/>
              </w:rPr>
            </w:pPr>
            <w:r>
              <w:rPr>
                <w:rFonts w:cs="Times New Roman" w:ascii="Times New Roman" w:hAnsi="Times New Roman"/>
                <w:b/>
              </w:rPr>
              <w:t xml:space="preserve">de referência </w:t>
            </w:r>
          </w:p>
        </w:tc>
      </w:tr>
      <w:tr>
        <w:trPr/>
        <w:tc>
          <w:tcPr>
            <w:tcW w:w="67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Standard"/>
              <w:spacing w:lineRule="auto" w:line="240" w:before="0" w:after="0"/>
              <w:jc w:val="center"/>
              <w:rPr>
                <w:rFonts w:ascii="Times New Roman" w:hAnsi="Times New Roman"/>
                <w:b w:val="false"/>
                <w:b w:val="false"/>
                <w:bCs w:val="false"/>
                <w:sz w:val="20"/>
                <w:szCs w:val="20"/>
              </w:rPr>
            </w:pPr>
            <w:r>
              <w:rPr>
                <w:rFonts w:ascii="Times New Roman" w:hAnsi="Times New Roman"/>
                <w:b w:val="false"/>
                <w:bCs w:val="false"/>
                <w:sz w:val="20"/>
                <w:szCs w:val="20"/>
              </w:rPr>
              <w:t>01</w:t>
            </w:r>
          </w:p>
        </w:tc>
        <w:tc>
          <w:tcPr>
            <w:tcW w:w="49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160"/>
              <w:jc w:val="left"/>
              <w:rPr>
                <w:rFonts w:ascii="Times New Roman" w:hAnsi="Times New Roman" w:cs="Times New Roman"/>
                <w:color w:val="000000"/>
                <w:sz w:val="20"/>
                <w:szCs w:val="20"/>
              </w:rPr>
            </w:pPr>
            <w:r>
              <w:rPr>
                <w:rFonts w:cs="Times New Roman" w:ascii="Times New Roman" w:hAnsi="Times New Roman"/>
                <w:color w:val="000000"/>
                <w:sz w:val="20"/>
                <w:szCs w:val="20"/>
              </w:rPr>
              <w:t>INDICADOR QUÍMICO CLASSE 5, EMB 25 UND</w:t>
            </w:r>
          </w:p>
        </w:tc>
        <w:tc>
          <w:tcPr>
            <w:tcW w:w="108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0"/>
              <w:jc w:val="center"/>
              <w:rPr>
                <w:rFonts w:ascii="Times New Roman" w:hAnsi="Times New Roman" w:cs="Times New Roman"/>
                <w:color w:val="000000"/>
              </w:rPr>
            </w:pPr>
            <w:r>
              <w:rPr>
                <w:rFonts w:cs="Times New Roman" w:ascii="Times New Roman" w:hAnsi="Times New Roman"/>
                <w:color w:val="000000"/>
              </w:rPr>
              <w:t>UND</w:t>
            </w:r>
          </w:p>
        </w:tc>
        <w:tc>
          <w:tcPr>
            <w:tcW w:w="56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0"/>
              <w:jc w:val="center"/>
              <w:rPr>
                <w:rFonts w:ascii="Times New Roman" w:hAnsi="Times New Roman" w:cs="Times New Roman"/>
                <w:color w:val="000000"/>
              </w:rPr>
            </w:pPr>
            <w:r>
              <w:rPr>
                <w:rFonts w:cs="Times New Roman" w:ascii="Times New Roman" w:hAnsi="Times New Roman"/>
                <w:color w:val="000000"/>
              </w:rPr>
              <w:t>10</w:t>
            </w:r>
          </w:p>
        </w:tc>
        <w:tc>
          <w:tcPr>
            <w:tcW w:w="153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Standard"/>
              <w:spacing w:lineRule="auto" w:line="240" w:before="0" w:after="0"/>
              <w:jc w:val="center"/>
              <w:rPr>
                <w:rFonts w:ascii="Times New Roman" w:hAnsi="Times New Roman"/>
                <w:sz w:val="20"/>
                <w:szCs w:val="20"/>
              </w:rPr>
            </w:pPr>
            <w:r>
              <w:rPr>
                <w:rFonts w:ascii="Times New Roman" w:hAnsi="Times New Roman"/>
                <w:sz w:val="20"/>
                <w:szCs w:val="20"/>
              </w:rPr>
              <w:t>R$ 149,40</w:t>
            </w:r>
          </w:p>
        </w:tc>
        <w:tc>
          <w:tcPr>
            <w:tcW w:w="135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 w:type="dxa"/>
              <w:right w:w="10" w:type="dxa"/>
            </w:tcMar>
            <w:vAlign w:val="center"/>
          </w:tcPr>
          <w:p>
            <w:pPr>
              <w:pStyle w:val="Standard"/>
              <w:spacing w:lineRule="auto" w:line="240" w:before="0" w:after="0"/>
              <w:jc w:val="center"/>
              <w:rPr>
                <w:rFonts w:ascii="Times New Roman" w:hAnsi="Times New Roman"/>
                <w:sz w:val="20"/>
                <w:szCs w:val="20"/>
              </w:rPr>
            </w:pPr>
            <w:r>
              <w:rPr>
                <w:rFonts w:ascii="Times New Roman" w:hAnsi="Times New Roman"/>
                <w:sz w:val="20"/>
                <w:szCs w:val="20"/>
              </w:rPr>
              <w:t>R$ 1.494,00</w:t>
            </w:r>
          </w:p>
        </w:tc>
      </w:tr>
      <w:tr>
        <w:trPr/>
        <w:tc>
          <w:tcPr>
            <w:tcW w:w="67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Standard"/>
              <w:spacing w:lineRule="auto" w:line="240" w:before="0" w:after="0"/>
              <w:jc w:val="center"/>
              <w:rPr>
                <w:rFonts w:ascii="Times New Roman" w:hAnsi="Times New Roman" w:eastAsia="Calibri" w:cs="Times New Roman"/>
                <w:b w:val="false"/>
                <w:b w:val="false"/>
                <w:bCs w:val="false"/>
                <w:color w:val="000000"/>
                <w:sz w:val="20"/>
                <w:szCs w:val="20"/>
              </w:rPr>
            </w:pPr>
            <w:r>
              <w:rPr>
                <w:rFonts w:eastAsia="Calibri" w:cs="Times New Roman" w:ascii="Times New Roman" w:hAnsi="Times New Roman"/>
                <w:b w:val="false"/>
                <w:bCs w:val="false"/>
                <w:color w:val="000000"/>
                <w:sz w:val="20"/>
                <w:szCs w:val="20"/>
              </w:rPr>
              <w:t>02</w:t>
            </w:r>
          </w:p>
        </w:tc>
        <w:tc>
          <w:tcPr>
            <w:tcW w:w="49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160"/>
              <w:jc w:val="left"/>
              <w:rPr/>
            </w:pPr>
            <w:bookmarkStart w:id="0" w:name="__DdeLink__9837_3569393063"/>
            <w:r>
              <w:rPr>
                <w:rFonts w:eastAsia="Calibri" w:cs="Times New Roman" w:ascii="Times New Roman" w:hAnsi="Times New Roman"/>
                <w:color w:val="000000"/>
                <w:sz w:val="20"/>
                <w:szCs w:val="20"/>
              </w:rPr>
              <w:t>S</w:t>
            </w:r>
            <w:bookmarkEnd w:id="0"/>
            <w:r>
              <w:rPr>
                <w:rFonts w:eastAsia="Calibri" w:cs="Times New Roman" w:ascii="Times New Roman" w:hAnsi="Times New Roman"/>
                <w:color w:val="000000"/>
                <w:sz w:val="20"/>
                <w:szCs w:val="20"/>
              </w:rPr>
              <w:t>UGADOR DESCARTÁVEL, EMB 40 UND</w:t>
            </w:r>
          </w:p>
        </w:tc>
        <w:tc>
          <w:tcPr>
            <w:tcW w:w="108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0"/>
              <w:jc w:val="center"/>
              <w:rPr>
                <w:rFonts w:ascii="Times New Roman" w:hAnsi="Times New Roman" w:cs="Times New Roman"/>
              </w:rPr>
            </w:pPr>
            <w:r>
              <w:rPr>
                <w:rFonts w:cs="Times New Roman" w:ascii="Times New Roman" w:hAnsi="Times New Roman"/>
              </w:rPr>
              <w:t>UND</w:t>
            </w:r>
          </w:p>
        </w:tc>
        <w:tc>
          <w:tcPr>
            <w:tcW w:w="56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0"/>
              <w:jc w:val="center"/>
              <w:rPr>
                <w:rFonts w:ascii="Times New Roman" w:hAnsi="Times New Roman" w:cs="Times New Roman"/>
              </w:rPr>
            </w:pPr>
            <w:r>
              <w:rPr>
                <w:rFonts w:cs="Times New Roman" w:ascii="Times New Roman" w:hAnsi="Times New Roman"/>
              </w:rPr>
              <w:t>30</w:t>
            </w:r>
          </w:p>
        </w:tc>
        <w:tc>
          <w:tcPr>
            <w:tcW w:w="153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Standard"/>
              <w:spacing w:lineRule="auto" w:line="240" w:before="0" w:after="0"/>
              <w:jc w:val="center"/>
              <w:rPr>
                <w:rFonts w:ascii="Times New Roman" w:hAnsi="Times New Roman" w:eastAsia="Calibri" w:cs="Times New Roman"/>
                <w:color w:val="000000"/>
                <w:sz w:val="20"/>
                <w:szCs w:val="20"/>
              </w:rPr>
            </w:pPr>
            <w:r>
              <w:rPr>
                <w:rFonts w:eastAsia="Calibri" w:cs="Times New Roman" w:ascii="Times New Roman" w:hAnsi="Times New Roman"/>
                <w:color w:val="000000"/>
                <w:sz w:val="20"/>
                <w:szCs w:val="20"/>
              </w:rPr>
              <w:t>R$ 15,77</w:t>
            </w:r>
          </w:p>
        </w:tc>
        <w:tc>
          <w:tcPr>
            <w:tcW w:w="135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 w:type="dxa"/>
              <w:right w:w="10" w:type="dxa"/>
            </w:tcMar>
            <w:vAlign w:val="center"/>
          </w:tcPr>
          <w:p>
            <w:pPr>
              <w:pStyle w:val="Standard"/>
              <w:spacing w:lineRule="auto" w:line="240" w:before="0" w:after="0"/>
              <w:jc w:val="center"/>
              <w:rPr>
                <w:rFonts w:ascii="Times New Roman" w:hAnsi="Times New Roman" w:eastAsia="Calibri" w:cs="Times New Roman"/>
                <w:color w:val="000000"/>
                <w:sz w:val="20"/>
                <w:szCs w:val="20"/>
              </w:rPr>
            </w:pPr>
            <w:r>
              <w:rPr>
                <w:rFonts w:eastAsia="Calibri" w:cs="Times New Roman" w:ascii="Times New Roman" w:hAnsi="Times New Roman"/>
                <w:color w:val="000000"/>
                <w:sz w:val="20"/>
                <w:szCs w:val="20"/>
              </w:rPr>
              <w:t>R$ 473,10</w:t>
            </w:r>
          </w:p>
        </w:tc>
      </w:tr>
      <w:tr>
        <w:trPr/>
        <w:tc>
          <w:tcPr>
            <w:tcW w:w="67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Standard"/>
              <w:spacing w:lineRule="auto" w:line="240" w:before="0" w:after="0"/>
              <w:jc w:val="center"/>
              <w:rPr>
                <w:rFonts w:ascii="Times New Roman" w:hAnsi="Times New Roman" w:eastAsia="Calibri" w:cs="Times New Roman"/>
                <w:b w:val="false"/>
                <w:b w:val="false"/>
                <w:bCs w:val="false"/>
                <w:color w:val="000000"/>
                <w:sz w:val="20"/>
                <w:szCs w:val="20"/>
              </w:rPr>
            </w:pPr>
            <w:r>
              <w:rPr>
                <w:rFonts w:eastAsia="Calibri" w:cs="Times New Roman" w:ascii="Times New Roman" w:hAnsi="Times New Roman"/>
                <w:b w:val="false"/>
                <w:bCs w:val="false"/>
                <w:color w:val="000000"/>
                <w:sz w:val="20"/>
                <w:szCs w:val="20"/>
              </w:rPr>
              <w:t>03</w:t>
            </w:r>
          </w:p>
        </w:tc>
        <w:tc>
          <w:tcPr>
            <w:tcW w:w="49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160"/>
              <w:jc w:val="left"/>
              <w:rPr>
                <w:rFonts w:ascii="Times New Roman" w:hAnsi="Times New Roman" w:cs="Times New Roman"/>
                <w:sz w:val="20"/>
                <w:szCs w:val="20"/>
              </w:rPr>
            </w:pPr>
            <w:r>
              <w:rPr>
                <w:rFonts w:cs="Times New Roman" w:ascii="Times New Roman" w:hAnsi="Times New Roman"/>
                <w:sz w:val="20"/>
                <w:szCs w:val="20"/>
              </w:rPr>
              <w:t>COMPRESSA GAZE 7,5X7,5CM, 13 FIOS , PCT 500 UND</w:t>
            </w:r>
          </w:p>
        </w:tc>
        <w:tc>
          <w:tcPr>
            <w:tcW w:w="108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0"/>
              <w:jc w:val="center"/>
              <w:rPr>
                <w:rFonts w:ascii="Times New Roman" w:hAnsi="Times New Roman" w:cs="Times New Roman"/>
                <w:color w:val="000000"/>
              </w:rPr>
            </w:pPr>
            <w:r>
              <w:rPr>
                <w:rFonts w:cs="Times New Roman" w:ascii="Times New Roman" w:hAnsi="Times New Roman"/>
                <w:color w:val="000000"/>
              </w:rPr>
              <w:t>UND</w:t>
            </w:r>
          </w:p>
        </w:tc>
        <w:tc>
          <w:tcPr>
            <w:tcW w:w="56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0"/>
              <w:jc w:val="center"/>
              <w:rPr>
                <w:rFonts w:ascii="Times New Roman" w:hAnsi="Times New Roman" w:cs="Times New Roman"/>
              </w:rPr>
            </w:pPr>
            <w:r>
              <w:rPr>
                <w:rFonts w:cs="Times New Roman" w:ascii="Times New Roman" w:hAnsi="Times New Roman"/>
              </w:rPr>
              <w:t>10</w:t>
            </w:r>
          </w:p>
        </w:tc>
        <w:tc>
          <w:tcPr>
            <w:tcW w:w="153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Standard"/>
              <w:spacing w:lineRule="auto" w:line="240" w:before="0" w:after="0"/>
              <w:jc w:val="center"/>
              <w:rPr>
                <w:rFonts w:ascii="Times New Roman" w:hAnsi="Times New Roman" w:eastAsia="Calibri" w:cs="Times New Roman"/>
                <w:color w:val="000000"/>
                <w:sz w:val="20"/>
                <w:szCs w:val="20"/>
              </w:rPr>
            </w:pPr>
            <w:r>
              <w:rPr>
                <w:rFonts w:eastAsia="Calibri" w:cs="Times New Roman" w:ascii="Times New Roman" w:hAnsi="Times New Roman"/>
                <w:color w:val="000000"/>
                <w:sz w:val="20"/>
                <w:szCs w:val="20"/>
              </w:rPr>
              <w:t>R$ 21,25</w:t>
            </w:r>
          </w:p>
        </w:tc>
        <w:tc>
          <w:tcPr>
            <w:tcW w:w="135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 w:type="dxa"/>
              <w:right w:w="10" w:type="dxa"/>
            </w:tcMar>
            <w:vAlign w:val="center"/>
          </w:tcPr>
          <w:p>
            <w:pPr>
              <w:pStyle w:val="Standard"/>
              <w:spacing w:lineRule="auto" w:line="240" w:before="0" w:after="0"/>
              <w:jc w:val="center"/>
              <w:rPr/>
            </w:pPr>
            <w:r>
              <w:rPr>
                <w:rFonts w:eastAsia="Calibri" w:cs="Times New Roman" w:ascii="Times New Roman" w:hAnsi="Times New Roman"/>
                <w:color w:val="000000"/>
                <w:sz w:val="20"/>
                <w:szCs w:val="20"/>
              </w:rPr>
              <w:t>R$ 212,50</w:t>
            </w:r>
          </w:p>
        </w:tc>
      </w:tr>
      <w:tr>
        <w:trPr/>
        <w:tc>
          <w:tcPr>
            <w:tcW w:w="67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Standard"/>
              <w:spacing w:lineRule="auto" w:line="240" w:before="0" w:after="0"/>
              <w:jc w:val="center"/>
              <w:rPr>
                <w:rFonts w:ascii="Times New Roman" w:hAnsi="Times New Roman" w:eastAsia="Calibri" w:cs="Times New Roman"/>
                <w:b w:val="false"/>
                <w:b w:val="false"/>
                <w:bCs w:val="false"/>
                <w:color w:val="000000"/>
                <w:sz w:val="20"/>
                <w:szCs w:val="20"/>
              </w:rPr>
            </w:pPr>
            <w:r>
              <w:rPr>
                <w:rFonts w:eastAsia="Calibri" w:cs="Times New Roman" w:ascii="Times New Roman" w:hAnsi="Times New Roman"/>
                <w:b w:val="false"/>
                <w:bCs w:val="false"/>
                <w:color w:val="000000"/>
                <w:sz w:val="20"/>
                <w:szCs w:val="20"/>
              </w:rPr>
              <w:t>04</w:t>
            </w:r>
          </w:p>
        </w:tc>
        <w:tc>
          <w:tcPr>
            <w:tcW w:w="49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160"/>
              <w:jc w:val="left"/>
              <w:rPr/>
            </w:pPr>
            <w:bookmarkStart w:id="1" w:name="__DdeLink__2142_3705813309"/>
            <w:r>
              <w:rPr>
                <w:rFonts w:cs="Times New Roman" w:ascii="Times New Roman" w:hAnsi="Times New Roman"/>
                <w:sz w:val="20"/>
                <w:szCs w:val="20"/>
              </w:rPr>
              <w:t xml:space="preserve">ADESIVO DENTAL COMPONENTES: AUTOCONDICIONANTE , TIPO: ATIVAÇÃO DUAL , APRESENTAÇÃO: CONJUNTO COMPLETO , COMPOSIÇÃO: DOIS COMPONENTES, PASSO ÚNICO. MARCA DE REFERÊNCIA: 3M. </w:t>
            </w:r>
            <w:bookmarkEnd w:id="1"/>
            <w:r>
              <w:rPr>
                <w:rFonts w:cs="Times New Roman" w:ascii="Times New Roman" w:hAnsi="Times New Roman"/>
                <w:sz w:val="20"/>
                <w:szCs w:val="20"/>
              </w:rPr>
              <w:t xml:space="preserve">                                                                                                                                                                                                                                                                                                                                                                                                                                                                                                                                                                                                                                                                                                  </w:t>
            </w:r>
          </w:p>
        </w:tc>
        <w:tc>
          <w:tcPr>
            <w:tcW w:w="108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0"/>
              <w:jc w:val="center"/>
              <w:rPr>
                <w:rFonts w:ascii="Times New Roman" w:hAnsi="Times New Roman" w:cs="Times New Roman"/>
                <w:color w:val="000000"/>
              </w:rPr>
            </w:pPr>
            <w:r>
              <w:rPr>
                <w:rFonts w:cs="Times New Roman" w:ascii="Times New Roman" w:hAnsi="Times New Roman"/>
                <w:color w:val="000000"/>
              </w:rPr>
              <w:t>UND</w:t>
            </w:r>
          </w:p>
        </w:tc>
        <w:tc>
          <w:tcPr>
            <w:tcW w:w="56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0"/>
              <w:jc w:val="center"/>
              <w:rPr>
                <w:rFonts w:ascii="Times New Roman" w:hAnsi="Times New Roman" w:cs="Times New Roman"/>
              </w:rPr>
            </w:pPr>
            <w:r>
              <w:rPr>
                <w:rFonts w:cs="Times New Roman" w:ascii="Times New Roman" w:hAnsi="Times New Roman"/>
              </w:rPr>
              <w:t>6</w:t>
            </w:r>
          </w:p>
        </w:tc>
        <w:tc>
          <w:tcPr>
            <w:tcW w:w="153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Standard"/>
              <w:spacing w:lineRule="auto" w:line="240" w:before="0" w:after="0"/>
              <w:jc w:val="center"/>
              <w:rPr>
                <w:rFonts w:ascii="Times New Roman" w:hAnsi="Times New Roman" w:eastAsia="Calibri" w:cs="Times New Roman"/>
                <w:color w:val="000000"/>
                <w:sz w:val="20"/>
                <w:szCs w:val="20"/>
              </w:rPr>
            </w:pPr>
            <w:r>
              <w:rPr>
                <w:rFonts w:eastAsia="Calibri" w:cs="Times New Roman" w:ascii="Times New Roman" w:hAnsi="Times New Roman"/>
                <w:color w:val="000000"/>
                <w:sz w:val="20"/>
                <w:szCs w:val="20"/>
              </w:rPr>
              <w:t>R$ 249,78</w:t>
            </w:r>
          </w:p>
        </w:tc>
        <w:tc>
          <w:tcPr>
            <w:tcW w:w="135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 w:type="dxa"/>
              <w:right w:w="10" w:type="dxa"/>
            </w:tcMar>
            <w:vAlign w:val="center"/>
          </w:tcPr>
          <w:p>
            <w:pPr>
              <w:pStyle w:val="Standard"/>
              <w:spacing w:lineRule="auto" w:line="240" w:before="0" w:after="0"/>
              <w:jc w:val="center"/>
              <w:rPr>
                <w:rFonts w:ascii="Times New Roman" w:hAnsi="Times New Roman" w:eastAsia="Calibri" w:cs="Times New Roman"/>
                <w:color w:val="000000"/>
                <w:sz w:val="20"/>
                <w:szCs w:val="20"/>
              </w:rPr>
            </w:pPr>
            <w:r>
              <w:rPr>
                <w:rFonts w:eastAsia="Calibri" w:cs="Times New Roman" w:ascii="Times New Roman" w:hAnsi="Times New Roman"/>
                <w:color w:val="000000"/>
                <w:sz w:val="20"/>
                <w:szCs w:val="20"/>
              </w:rPr>
              <w:t>R$ 1.498,68</w:t>
            </w:r>
          </w:p>
        </w:tc>
      </w:tr>
      <w:tr>
        <w:trPr/>
        <w:tc>
          <w:tcPr>
            <w:tcW w:w="67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Standard"/>
              <w:spacing w:lineRule="auto" w:line="240" w:before="0" w:after="0"/>
              <w:jc w:val="center"/>
              <w:rPr>
                <w:rFonts w:ascii="Times New Roman" w:hAnsi="Times New Roman"/>
                <w:b w:val="false"/>
                <w:b w:val="false"/>
                <w:bCs w:val="false"/>
                <w:sz w:val="20"/>
                <w:szCs w:val="20"/>
              </w:rPr>
            </w:pPr>
            <w:r>
              <w:rPr>
                <w:rFonts w:ascii="Times New Roman" w:hAnsi="Times New Roman"/>
                <w:b w:val="false"/>
                <w:bCs w:val="false"/>
                <w:sz w:val="20"/>
                <w:szCs w:val="20"/>
              </w:rPr>
              <w:t>05</w:t>
            </w:r>
          </w:p>
        </w:tc>
        <w:tc>
          <w:tcPr>
            <w:tcW w:w="49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160"/>
              <w:jc w:val="left"/>
              <w:rPr>
                <w:rFonts w:ascii="Times New Roman" w:hAnsi="Times New Roman" w:cs="Times New Roman"/>
                <w:sz w:val="20"/>
                <w:szCs w:val="20"/>
              </w:rPr>
            </w:pPr>
            <w:r>
              <w:rPr>
                <w:rFonts w:cs="Times New Roman" w:ascii="Times New Roman" w:hAnsi="Times New Roman"/>
                <w:sz w:val="20"/>
                <w:szCs w:val="20"/>
              </w:rPr>
              <w:t>CONDICIONADOR ÁCIDO FOSFÓRICO 37%, EMB C/ 3 UND.</w:t>
            </w:r>
          </w:p>
        </w:tc>
        <w:tc>
          <w:tcPr>
            <w:tcW w:w="108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0"/>
              <w:jc w:val="center"/>
              <w:rPr>
                <w:rFonts w:ascii="Times New Roman" w:hAnsi="Times New Roman" w:cs="Times New Roman"/>
              </w:rPr>
            </w:pPr>
            <w:r>
              <w:rPr>
                <w:rFonts w:cs="Times New Roman" w:ascii="Times New Roman" w:hAnsi="Times New Roman"/>
              </w:rPr>
              <w:t>EMB</w:t>
            </w:r>
          </w:p>
        </w:tc>
        <w:tc>
          <w:tcPr>
            <w:tcW w:w="56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0"/>
              <w:jc w:val="center"/>
              <w:rPr>
                <w:rFonts w:ascii="Times New Roman" w:hAnsi="Times New Roman" w:cs="Times New Roman"/>
              </w:rPr>
            </w:pPr>
            <w:r>
              <w:rPr>
                <w:rFonts w:cs="Times New Roman" w:ascii="Times New Roman" w:hAnsi="Times New Roman"/>
              </w:rPr>
              <w:t>10</w:t>
            </w:r>
          </w:p>
        </w:tc>
        <w:tc>
          <w:tcPr>
            <w:tcW w:w="153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Standard"/>
              <w:spacing w:lineRule="auto" w:line="240" w:before="0" w:after="0"/>
              <w:jc w:val="center"/>
              <w:rPr/>
            </w:pPr>
            <w:bookmarkStart w:id="2" w:name="__DdeLink__1407_2345135319"/>
            <w:r>
              <w:rPr>
                <w:rFonts w:ascii="Times New Roman" w:hAnsi="Times New Roman"/>
                <w:sz w:val="20"/>
                <w:szCs w:val="20"/>
              </w:rPr>
              <w:t xml:space="preserve">R$ </w:t>
            </w:r>
            <w:bookmarkEnd w:id="2"/>
            <w:r>
              <w:rPr>
                <w:rFonts w:ascii="Times New Roman" w:hAnsi="Times New Roman"/>
                <w:sz w:val="20"/>
                <w:szCs w:val="20"/>
              </w:rPr>
              <w:t>20,33</w:t>
            </w:r>
          </w:p>
        </w:tc>
        <w:tc>
          <w:tcPr>
            <w:tcW w:w="135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 w:type="dxa"/>
              <w:right w:w="10" w:type="dxa"/>
            </w:tcMar>
            <w:vAlign w:val="center"/>
          </w:tcPr>
          <w:p>
            <w:pPr>
              <w:pStyle w:val="Standard"/>
              <w:spacing w:lineRule="auto" w:line="240" w:before="0" w:after="0"/>
              <w:jc w:val="center"/>
              <w:rPr>
                <w:rFonts w:ascii="Times New Roman" w:hAnsi="Times New Roman"/>
                <w:sz w:val="20"/>
                <w:szCs w:val="20"/>
              </w:rPr>
            </w:pPr>
            <w:r>
              <w:rPr>
                <w:rFonts w:ascii="Times New Roman" w:hAnsi="Times New Roman"/>
                <w:sz w:val="20"/>
                <w:szCs w:val="20"/>
              </w:rPr>
              <w:t>R$ 203,30</w:t>
            </w:r>
          </w:p>
        </w:tc>
      </w:tr>
      <w:tr>
        <w:trPr/>
        <w:tc>
          <w:tcPr>
            <w:tcW w:w="67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Standard"/>
              <w:spacing w:lineRule="auto" w:line="240" w:before="0" w:after="0"/>
              <w:jc w:val="center"/>
              <w:rPr>
                <w:rFonts w:ascii="Times New Roman" w:hAnsi="Times New Roman"/>
                <w:b w:val="false"/>
                <w:b w:val="false"/>
                <w:bCs w:val="false"/>
                <w:sz w:val="20"/>
                <w:szCs w:val="20"/>
              </w:rPr>
            </w:pPr>
            <w:r>
              <w:rPr>
                <w:rFonts w:ascii="Times New Roman" w:hAnsi="Times New Roman"/>
                <w:b w:val="false"/>
                <w:bCs w:val="false"/>
                <w:sz w:val="20"/>
                <w:szCs w:val="20"/>
              </w:rPr>
              <w:t>06</w:t>
            </w:r>
          </w:p>
        </w:tc>
        <w:tc>
          <w:tcPr>
            <w:tcW w:w="49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160"/>
              <w:jc w:val="left"/>
              <w:rPr>
                <w:rFonts w:ascii="Times New Roman" w:hAnsi="Times New Roman" w:cs="Times New Roman"/>
                <w:sz w:val="20"/>
                <w:szCs w:val="20"/>
              </w:rPr>
            </w:pPr>
            <w:r>
              <w:rPr>
                <w:rFonts w:cs="Times New Roman" w:ascii="Times New Roman" w:hAnsi="Times New Roman"/>
                <w:sz w:val="20"/>
                <w:szCs w:val="20"/>
              </w:rPr>
              <w:t>PONTA PAPEL ABSORVENTE 15-40 , 1ª SÉRIE, EMB 120 UND</w:t>
            </w:r>
          </w:p>
        </w:tc>
        <w:tc>
          <w:tcPr>
            <w:tcW w:w="108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0"/>
              <w:jc w:val="center"/>
              <w:rPr>
                <w:rFonts w:ascii="Times New Roman" w:hAnsi="Times New Roman" w:cs="Times New Roman"/>
              </w:rPr>
            </w:pPr>
            <w:r>
              <w:rPr>
                <w:rFonts w:cs="Times New Roman" w:ascii="Times New Roman" w:hAnsi="Times New Roman"/>
              </w:rPr>
              <w:t>UND</w:t>
            </w:r>
          </w:p>
        </w:tc>
        <w:tc>
          <w:tcPr>
            <w:tcW w:w="56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0"/>
              <w:jc w:val="center"/>
              <w:rPr>
                <w:rFonts w:ascii="Times New Roman" w:hAnsi="Times New Roman" w:cs="Times New Roman"/>
              </w:rPr>
            </w:pPr>
            <w:r>
              <w:rPr>
                <w:rFonts w:cs="Times New Roman" w:ascii="Times New Roman" w:hAnsi="Times New Roman"/>
              </w:rPr>
              <w:t>5</w:t>
            </w:r>
          </w:p>
        </w:tc>
        <w:tc>
          <w:tcPr>
            <w:tcW w:w="153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Standard"/>
              <w:spacing w:lineRule="auto" w:line="240" w:before="0" w:after="0"/>
              <w:jc w:val="center"/>
              <w:rPr>
                <w:rFonts w:ascii="Times New Roman" w:hAnsi="Times New Roman"/>
                <w:sz w:val="20"/>
                <w:szCs w:val="20"/>
              </w:rPr>
            </w:pPr>
            <w:r>
              <w:rPr>
                <w:rFonts w:ascii="Times New Roman" w:hAnsi="Times New Roman"/>
                <w:sz w:val="20"/>
                <w:szCs w:val="20"/>
              </w:rPr>
              <w:t>R$ 46,95</w:t>
            </w:r>
          </w:p>
        </w:tc>
        <w:tc>
          <w:tcPr>
            <w:tcW w:w="135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 w:type="dxa"/>
              <w:right w:w="10" w:type="dxa"/>
            </w:tcMar>
            <w:vAlign w:val="center"/>
          </w:tcPr>
          <w:p>
            <w:pPr>
              <w:pStyle w:val="Standard"/>
              <w:spacing w:lineRule="auto" w:line="240" w:before="0" w:after="0"/>
              <w:jc w:val="center"/>
              <w:rPr>
                <w:rFonts w:ascii="Times New Roman" w:hAnsi="Times New Roman"/>
                <w:sz w:val="20"/>
                <w:szCs w:val="20"/>
              </w:rPr>
            </w:pPr>
            <w:r>
              <w:rPr>
                <w:rFonts w:ascii="Times New Roman" w:hAnsi="Times New Roman"/>
                <w:sz w:val="20"/>
                <w:szCs w:val="20"/>
              </w:rPr>
              <w:t>R$ 234,75</w:t>
            </w:r>
          </w:p>
        </w:tc>
      </w:tr>
      <w:tr>
        <w:trPr/>
        <w:tc>
          <w:tcPr>
            <w:tcW w:w="67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Standard"/>
              <w:spacing w:lineRule="auto" w:line="240" w:before="0" w:after="0"/>
              <w:jc w:val="center"/>
              <w:rPr>
                <w:rFonts w:ascii="Times New Roman" w:hAnsi="Times New Roman"/>
                <w:b w:val="false"/>
                <w:b w:val="false"/>
                <w:bCs w:val="false"/>
                <w:sz w:val="20"/>
                <w:szCs w:val="20"/>
              </w:rPr>
            </w:pPr>
            <w:r>
              <w:rPr>
                <w:rFonts w:ascii="Times New Roman" w:hAnsi="Times New Roman"/>
                <w:b w:val="false"/>
                <w:bCs w:val="false"/>
                <w:sz w:val="20"/>
                <w:szCs w:val="20"/>
              </w:rPr>
              <w:t>07</w:t>
            </w:r>
          </w:p>
        </w:tc>
        <w:tc>
          <w:tcPr>
            <w:tcW w:w="49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160"/>
              <w:jc w:val="left"/>
              <w:rPr>
                <w:rFonts w:ascii="Times New Roman" w:hAnsi="Times New Roman" w:cs="Times New Roman"/>
                <w:sz w:val="20"/>
                <w:szCs w:val="20"/>
              </w:rPr>
            </w:pPr>
            <w:r>
              <w:rPr>
                <w:rFonts w:cs="Times New Roman" w:ascii="Times New Roman" w:hAnsi="Times New Roman"/>
                <w:sz w:val="20"/>
                <w:szCs w:val="20"/>
              </w:rPr>
              <w:t>LENÇOL DE BORRACHA, EMB 26 UND</w:t>
            </w:r>
          </w:p>
        </w:tc>
        <w:tc>
          <w:tcPr>
            <w:tcW w:w="108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0"/>
              <w:jc w:val="center"/>
              <w:rPr>
                <w:rFonts w:ascii="Times New Roman" w:hAnsi="Times New Roman" w:cs="Times New Roman"/>
              </w:rPr>
            </w:pPr>
            <w:r>
              <w:rPr>
                <w:rFonts w:cs="Times New Roman" w:ascii="Times New Roman" w:hAnsi="Times New Roman"/>
              </w:rPr>
              <w:t>UND</w:t>
            </w:r>
          </w:p>
        </w:tc>
        <w:tc>
          <w:tcPr>
            <w:tcW w:w="56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0"/>
              <w:jc w:val="center"/>
              <w:rPr>
                <w:rFonts w:ascii="Times New Roman" w:hAnsi="Times New Roman" w:cs="Times New Roman"/>
              </w:rPr>
            </w:pPr>
            <w:r>
              <w:rPr>
                <w:rFonts w:cs="Times New Roman" w:ascii="Times New Roman" w:hAnsi="Times New Roman"/>
              </w:rPr>
              <w:t>5</w:t>
            </w:r>
          </w:p>
        </w:tc>
        <w:tc>
          <w:tcPr>
            <w:tcW w:w="153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Standard"/>
              <w:spacing w:lineRule="auto" w:line="240" w:before="0" w:after="0"/>
              <w:jc w:val="center"/>
              <w:rPr>
                <w:rFonts w:ascii="Times New Roman" w:hAnsi="Times New Roman"/>
                <w:sz w:val="20"/>
                <w:szCs w:val="20"/>
              </w:rPr>
            </w:pPr>
            <w:r>
              <w:rPr>
                <w:rFonts w:ascii="Times New Roman" w:hAnsi="Times New Roman"/>
                <w:sz w:val="20"/>
                <w:szCs w:val="20"/>
              </w:rPr>
              <w:t>R$ 35,65</w:t>
            </w:r>
          </w:p>
        </w:tc>
        <w:tc>
          <w:tcPr>
            <w:tcW w:w="135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 w:type="dxa"/>
              <w:right w:w="10" w:type="dxa"/>
            </w:tcMar>
            <w:vAlign w:val="center"/>
          </w:tcPr>
          <w:p>
            <w:pPr>
              <w:pStyle w:val="Standard"/>
              <w:spacing w:lineRule="auto" w:line="240" w:before="0" w:after="0"/>
              <w:jc w:val="center"/>
              <w:rPr>
                <w:rFonts w:ascii="Times New Roman" w:hAnsi="Times New Roman"/>
                <w:sz w:val="20"/>
                <w:szCs w:val="20"/>
              </w:rPr>
            </w:pPr>
            <w:r>
              <w:rPr>
                <w:rFonts w:ascii="Times New Roman" w:hAnsi="Times New Roman"/>
                <w:sz w:val="20"/>
                <w:szCs w:val="20"/>
              </w:rPr>
              <w:t>R$ 178,25</w:t>
            </w:r>
          </w:p>
        </w:tc>
      </w:tr>
      <w:tr>
        <w:trPr/>
        <w:tc>
          <w:tcPr>
            <w:tcW w:w="67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Standard"/>
              <w:spacing w:lineRule="auto" w:line="240" w:before="0" w:after="0"/>
              <w:jc w:val="center"/>
              <w:rPr>
                <w:rFonts w:ascii="Times New Roman" w:hAnsi="Times New Roman"/>
                <w:b w:val="false"/>
                <w:b w:val="false"/>
                <w:bCs w:val="false"/>
                <w:sz w:val="20"/>
                <w:szCs w:val="20"/>
              </w:rPr>
            </w:pPr>
            <w:r>
              <w:rPr>
                <w:rFonts w:ascii="Times New Roman" w:hAnsi="Times New Roman"/>
                <w:b w:val="false"/>
                <w:bCs w:val="false"/>
                <w:sz w:val="20"/>
                <w:szCs w:val="20"/>
              </w:rPr>
              <w:t>08</w:t>
            </w:r>
          </w:p>
        </w:tc>
        <w:tc>
          <w:tcPr>
            <w:tcW w:w="49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160"/>
              <w:jc w:val="left"/>
              <w:rPr>
                <w:rFonts w:ascii="Times New Roman" w:hAnsi="Times New Roman" w:cs="Times New Roman"/>
                <w:sz w:val="20"/>
                <w:szCs w:val="20"/>
              </w:rPr>
            </w:pPr>
            <w:r>
              <w:rPr>
                <w:rFonts w:cs="Times New Roman" w:ascii="Times New Roman" w:hAnsi="Times New Roman"/>
                <w:sz w:val="20"/>
                <w:szCs w:val="20"/>
              </w:rPr>
              <w:t>ARTICAÍNA 4%, 1:1000.000,CX 50 TUBETES (1,8 ML)</w:t>
            </w:r>
          </w:p>
        </w:tc>
        <w:tc>
          <w:tcPr>
            <w:tcW w:w="108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0"/>
              <w:jc w:val="center"/>
              <w:rPr>
                <w:rFonts w:ascii="Times New Roman" w:hAnsi="Times New Roman" w:cs="Times New Roman"/>
              </w:rPr>
            </w:pPr>
            <w:r>
              <w:rPr>
                <w:rFonts w:cs="Times New Roman" w:ascii="Times New Roman" w:hAnsi="Times New Roman"/>
              </w:rPr>
              <w:t>CX</w:t>
            </w:r>
          </w:p>
        </w:tc>
        <w:tc>
          <w:tcPr>
            <w:tcW w:w="56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0"/>
              <w:jc w:val="center"/>
              <w:rPr>
                <w:rFonts w:ascii="Times New Roman" w:hAnsi="Times New Roman" w:cs="Times New Roman"/>
              </w:rPr>
            </w:pPr>
            <w:r>
              <w:rPr>
                <w:rFonts w:cs="Times New Roman" w:ascii="Times New Roman" w:hAnsi="Times New Roman"/>
              </w:rPr>
              <w:t>6</w:t>
            </w:r>
          </w:p>
        </w:tc>
        <w:tc>
          <w:tcPr>
            <w:tcW w:w="153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Standard"/>
              <w:spacing w:lineRule="auto" w:line="240" w:before="0" w:after="0"/>
              <w:jc w:val="center"/>
              <w:rPr>
                <w:rFonts w:ascii="Times New Roman" w:hAnsi="Times New Roman"/>
                <w:sz w:val="20"/>
                <w:szCs w:val="20"/>
              </w:rPr>
            </w:pPr>
            <w:r>
              <w:rPr>
                <w:rFonts w:ascii="Times New Roman" w:hAnsi="Times New Roman"/>
                <w:sz w:val="20"/>
                <w:szCs w:val="20"/>
              </w:rPr>
              <w:t>R$ 252,28</w:t>
            </w:r>
          </w:p>
        </w:tc>
        <w:tc>
          <w:tcPr>
            <w:tcW w:w="135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 w:type="dxa"/>
              <w:right w:w="10" w:type="dxa"/>
            </w:tcMar>
            <w:vAlign w:val="center"/>
          </w:tcPr>
          <w:p>
            <w:pPr>
              <w:pStyle w:val="Standard"/>
              <w:spacing w:lineRule="auto" w:line="240" w:before="0" w:after="0"/>
              <w:jc w:val="center"/>
              <w:rPr>
                <w:rFonts w:ascii="Times New Roman" w:hAnsi="Times New Roman"/>
                <w:sz w:val="20"/>
                <w:szCs w:val="20"/>
              </w:rPr>
            </w:pPr>
            <w:r>
              <w:rPr>
                <w:rFonts w:ascii="Times New Roman" w:hAnsi="Times New Roman"/>
                <w:sz w:val="20"/>
                <w:szCs w:val="20"/>
              </w:rPr>
              <w:t>R$ 1.513,68</w:t>
            </w:r>
          </w:p>
        </w:tc>
      </w:tr>
      <w:tr>
        <w:trPr/>
        <w:tc>
          <w:tcPr>
            <w:tcW w:w="67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Standard"/>
              <w:spacing w:lineRule="auto" w:line="240" w:before="0" w:after="0"/>
              <w:jc w:val="center"/>
              <w:rPr>
                <w:rFonts w:ascii="Times New Roman" w:hAnsi="Times New Roman"/>
                <w:b w:val="false"/>
                <w:b w:val="false"/>
                <w:bCs w:val="false"/>
                <w:sz w:val="20"/>
                <w:szCs w:val="20"/>
              </w:rPr>
            </w:pPr>
            <w:r>
              <w:rPr>
                <w:rFonts w:ascii="Times New Roman" w:hAnsi="Times New Roman"/>
                <w:b w:val="false"/>
                <w:bCs w:val="false"/>
                <w:sz w:val="20"/>
                <w:szCs w:val="20"/>
              </w:rPr>
              <w:t>09</w:t>
            </w:r>
          </w:p>
        </w:tc>
        <w:tc>
          <w:tcPr>
            <w:tcW w:w="49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160"/>
              <w:jc w:val="left"/>
              <w:rPr>
                <w:rFonts w:ascii="Times New Roman" w:hAnsi="Times New Roman" w:cs="Times New Roman"/>
                <w:sz w:val="20"/>
                <w:szCs w:val="20"/>
              </w:rPr>
            </w:pPr>
            <w:r>
              <w:rPr>
                <w:rFonts w:cs="Times New Roman" w:ascii="Times New Roman" w:hAnsi="Times New Roman"/>
                <w:sz w:val="20"/>
                <w:szCs w:val="20"/>
              </w:rPr>
              <w:t>AGULHA GENGIVAL CURTA, 30G, EMB 100UND</w:t>
            </w:r>
          </w:p>
        </w:tc>
        <w:tc>
          <w:tcPr>
            <w:tcW w:w="108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0"/>
              <w:jc w:val="center"/>
              <w:rPr>
                <w:rFonts w:ascii="Times New Roman" w:hAnsi="Times New Roman" w:cs="Times New Roman"/>
              </w:rPr>
            </w:pPr>
            <w:r>
              <w:rPr>
                <w:rFonts w:cs="Times New Roman" w:ascii="Times New Roman" w:hAnsi="Times New Roman"/>
              </w:rPr>
              <w:t>CX</w:t>
            </w:r>
          </w:p>
        </w:tc>
        <w:tc>
          <w:tcPr>
            <w:tcW w:w="56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0"/>
              <w:jc w:val="center"/>
              <w:rPr>
                <w:rFonts w:ascii="Times New Roman" w:hAnsi="Times New Roman" w:cs="Times New Roman"/>
              </w:rPr>
            </w:pPr>
            <w:r>
              <w:rPr>
                <w:rFonts w:cs="Times New Roman" w:ascii="Times New Roman" w:hAnsi="Times New Roman"/>
              </w:rPr>
              <w:t>6</w:t>
            </w:r>
          </w:p>
        </w:tc>
        <w:tc>
          <w:tcPr>
            <w:tcW w:w="153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Standard"/>
              <w:spacing w:lineRule="auto" w:line="240" w:before="0" w:after="0"/>
              <w:jc w:val="center"/>
              <w:rPr>
                <w:rFonts w:ascii="Times New Roman" w:hAnsi="Times New Roman"/>
                <w:sz w:val="20"/>
                <w:szCs w:val="20"/>
              </w:rPr>
            </w:pPr>
            <w:r>
              <w:rPr>
                <w:rFonts w:ascii="Times New Roman" w:hAnsi="Times New Roman"/>
                <w:sz w:val="20"/>
                <w:szCs w:val="20"/>
              </w:rPr>
              <w:t>R$ 114,70</w:t>
            </w:r>
          </w:p>
        </w:tc>
        <w:tc>
          <w:tcPr>
            <w:tcW w:w="135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 w:type="dxa"/>
              <w:right w:w="10" w:type="dxa"/>
            </w:tcMar>
            <w:vAlign w:val="center"/>
          </w:tcPr>
          <w:p>
            <w:pPr>
              <w:pStyle w:val="Standard"/>
              <w:spacing w:lineRule="auto" w:line="240" w:before="0" w:after="0"/>
              <w:jc w:val="center"/>
              <w:rPr>
                <w:rFonts w:ascii="Times New Roman" w:hAnsi="Times New Roman"/>
                <w:sz w:val="20"/>
                <w:szCs w:val="20"/>
              </w:rPr>
            </w:pPr>
            <w:r>
              <w:rPr>
                <w:rFonts w:ascii="Times New Roman" w:hAnsi="Times New Roman"/>
                <w:sz w:val="20"/>
                <w:szCs w:val="20"/>
              </w:rPr>
              <w:t>R$ 688,20</w:t>
            </w:r>
          </w:p>
        </w:tc>
      </w:tr>
      <w:tr>
        <w:trPr/>
        <w:tc>
          <w:tcPr>
            <w:tcW w:w="67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Standard"/>
              <w:spacing w:lineRule="auto" w:line="240" w:before="0" w:after="0"/>
              <w:jc w:val="center"/>
              <w:rPr>
                <w:rFonts w:ascii="Times New Roman" w:hAnsi="Times New Roman"/>
                <w:b w:val="false"/>
                <w:b w:val="false"/>
                <w:bCs w:val="false"/>
                <w:sz w:val="20"/>
                <w:szCs w:val="20"/>
              </w:rPr>
            </w:pPr>
            <w:r>
              <w:rPr>
                <w:rFonts w:ascii="Times New Roman" w:hAnsi="Times New Roman"/>
                <w:b w:val="false"/>
                <w:bCs w:val="false"/>
                <w:sz w:val="20"/>
                <w:szCs w:val="20"/>
              </w:rPr>
              <w:t>10</w:t>
            </w:r>
          </w:p>
        </w:tc>
        <w:tc>
          <w:tcPr>
            <w:tcW w:w="49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160"/>
              <w:jc w:val="left"/>
              <w:rPr>
                <w:rFonts w:ascii="Times New Roman" w:hAnsi="Times New Roman" w:cs="Times New Roman"/>
                <w:sz w:val="20"/>
                <w:szCs w:val="20"/>
              </w:rPr>
            </w:pPr>
            <w:r>
              <w:rPr>
                <w:rFonts w:cs="Times New Roman" w:ascii="Times New Roman" w:hAnsi="Times New Roman"/>
                <w:sz w:val="20"/>
                <w:szCs w:val="20"/>
              </w:rPr>
              <w:t>PASTA PROFILÁTICA, 90G</w:t>
            </w:r>
          </w:p>
        </w:tc>
        <w:tc>
          <w:tcPr>
            <w:tcW w:w="108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0"/>
              <w:jc w:val="center"/>
              <w:rPr>
                <w:rFonts w:ascii="Times New Roman" w:hAnsi="Times New Roman" w:cs="Times New Roman"/>
              </w:rPr>
            </w:pPr>
            <w:r>
              <w:rPr>
                <w:rFonts w:cs="Times New Roman" w:ascii="Times New Roman" w:hAnsi="Times New Roman"/>
              </w:rPr>
              <w:t>UND</w:t>
            </w:r>
          </w:p>
        </w:tc>
        <w:tc>
          <w:tcPr>
            <w:tcW w:w="56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0"/>
              <w:jc w:val="center"/>
              <w:rPr>
                <w:rFonts w:ascii="Times New Roman" w:hAnsi="Times New Roman" w:cs="Times New Roman"/>
              </w:rPr>
            </w:pPr>
            <w:r>
              <w:rPr>
                <w:rFonts w:cs="Times New Roman" w:ascii="Times New Roman" w:hAnsi="Times New Roman"/>
              </w:rPr>
              <w:t>10</w:t>
            </w:r>
          </w:p>
        </w:tc>
        <w:tc>
          <w:tcPr>
            <w:tcW w:w="153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Standard"/>
              <w:spacing w:lineRule="auto" w:line="240" w:before="0" w:after="0"/>
              <w:jc w:val="center"/>
              <w:rPr>
                <w:rFonts w:ascii="Times New Roman" w:hAnsi="Times New Roman"/>
                <w:sz w:val="20"/>
                <w:szCs w:val="20"/>
              </w:rPr>
            </w:pPr>
            <w:r>
              <w:rPr>
                <w:rFonts w:ascii="Times New Roman" w:hAnsi="Times New Roman"/>
                <w:sz w:val="20"/>
                <w:szCs w:val="20"/>
              </w:rPr>
              <w:t>R$ 15,21</w:t>
            </w:r>
          </w:p>
        </w:tc>
        <w:tc>
          <w:tcPr>
            <w:tcW w:w="135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 w:type="dxa"/>
              <w:right w:w="10" w:type="dxa"/>
            </w:tcMar>
            <w:vAlign w:val="center"/>
          </w:tcPr>
          <w:p>
            <w:pPr>
              <w:pStyle w:val="Standard"/>
              <w:spacing w:lineRule="auto" w:line="240" w:before="0" w:after="0"/>
              <w:jc w:val="center"/>
              <w:rPr>
                <w:rFonts w:ascii="Times New Roman" w:hAnsi="Times New Roman"/>
                <w:sz w:val="20"/>
                <w:szCs w:val="20"/>
              </w:rPr>
            </w:pPr>
            <w:r>
              <w:rPr>
                <w:rFonts w:ascii="Times New Roman" w:hAnsi="Times New Roman"/>
                <w:sz w:val="20"/>
                <w:szCs w:val="20"/>
              </w:rPr>
              <w:t>R$ 152,10</w:t>
            </w:r>
          </w:p>
        </w:tc>
      </w:tr>
      <w:tr>
        <w:trPr/>
        <w:tc>
          <w:tcPr>
            <w:tcW w:w="67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Standard"/>
              <w:spacing w:lineRule="auto" w:line="240" w:before="0" w:after="0"/>
              <w:jc w:val="center"/>
              <w:rPr>
                <w:rFonts w:ascii="Times New Roman" w:hAnsi="Times New Roman"/>
                <w:b w:val="false"/>
                <w:b w:val="false"/>
                <w:bCs w:val="false"/>
                <w:sz w:val="20"/>
                <w:szCs w:val="20"/>
              </w:rPr>
            </w:pPr>
            <w:r>
              <w:rPr>
                <w:rFonts w:ascii="Times New Roman" w:hAnsi="Times New Roman"/>
                <w:b w:val="false"/>
                <w:bCs w:val="false"/>
                <w:sz w:val="20"/>
                <w:szCs w:val="20"/>
              </w:rPr>
              <w:t>11</w:t>
            </w:r>
          </w:p>
        </w:tc>
        <w:tc>
          <w:tcPr>
            <w:tcW w:w="49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160"/>
              <w:jc w:val="left"/>
              <w:rPr>
                <w:rFonts w:ascii="Times New Roman" w:hAnsi="Times New Roman" w:cs="Times New Roman"/>
                <w:sz w:val="20"/>
                <w:szCs w:val="20"/>
              </w:rPr>
            </w:pPr>
            <w:r>
              <w:rPr>
                <w:rFonts w:cs="Times New Roman" w:ascii="Times New Roman" w:hAnsi="Times New Roman"/>
                <w:sz w:val="20"/>
                <w:szCs w:val="20"/>
              </w:rPr>
              <w:t>FLÚOR GEL ACIDULADO 1,23%,200ML</w:t>
            </w:r>
          </w:p>
        </w:tc>
        <w:tc>
          <w:tcPr>
            <w:tcW w:w="108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0"/>
              <w:jc w:val="center"/>
              <w:rPr>
                <w:rFonts w:ascii="Times New Roman" w:hAnsi="Times New Roman" w:cs="Times New Roman"/>
              </w:rPr>
            </w:pPr>
            <w:r>
              <w:rPr>
                <w:rFonts w:cs="Times New Roman" w:ascii="Times New Roman" w:hAnsi="Times New Roman"/>
              </w:rPr>
              <w:t>UND</w:t>
            </w:r>
          </w:p>
        </w:tc>
        <w:tc>
          <w:tcPr>
            <w:tcW w:w="56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0"/>
              <w:jc w:val="center"/>
              <w:rPr>
                <w:rFonts w:ascii="Times New Roman" w:hAnsi="Times New Roman" w:cs="Times New Roman"/>
              </w:rPr>
            </w:pPr>
            <w:r>
              <w:rPr>
                <w:rFonts w:cs="Times New Roman" w:ascii="Times New Roman" w:hAnsi="Times New Roman"/>
              </w:rPr>
              <w:t>10</w:t>
            </w:r>
          </w:p>
        </w:tc>
        <w:tc>
          <w:tcPr>
            <w:tcW w:w="153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Standard"/>
              <w:spacing w:lineRule="auto" w:line="240" w:before="0" w:after="0"/>
              <w:jc w:val="center"/>
              <w:rPr>
                <w:rFonts w:ascii="Times New Roman" w:hAnsi="Times New Roman"/>
                <w:sz w:val="20"/>
                <w:szCs w:val="20"/>
              </w:rPr>
            </w:pPr>
            <w:r>
              <w:rPr>
                <w:rFonts w:ascii="Times New Roman" w:hAnsi="Times New Roman"/>
                <w:sz w:val="20"/>
                <w:szCs w:val="20"/>
              </w:rPr>
              <w:t>R$ 19,76</w:t>
            </w:r>
          </w:p>
        </w:tc>
        <w:tc>
          <w:tcPr>
            <w:tcW w:w="135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 w:type="dxa"/>
              <w:right w:w="10" w:type="dxa"/>
            </w:tcMar>
            <w:vAlign w:val="center"/>
          </w:tcPr>
          <w:p>
            <w:pPr>
              <w:pStyle w:val="Standard"/>
              <w:spacing w:lineRule="auto" w:line="240" w:before="0" w:after="0"/>
              <w:jc w:val="center"/>
              <w:rPr>
                <w:rFonts w:ascii="Times New Roman" w:hAnsi="Times New Roman"/>
                <w:sz w:val="20"/>
                <w:szCs w:val="20"/>
              </w:rPr>
            </w:pPr>
            <w:r>
              <w:rPr>
                <w:rFonts w:ascii="Times New Roman" w:hAnsi="Times New Roman"/>
                <w:sz w:val="20"/>
                <w:szCs w:val="20"/>
              </w:rPr>
              <w:t>R$ 197,60</w:t>
            </w:r>
          </w:p>
        </w:tc>
      </w:tr>
      <w:tr>
        <w:trPr/>
        <w:tc>
          <w:tcPr>
            <w:tcW w:w="67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Standard"/>
              <w:spacing w:lineRule="auto" w:line="240" w:before="0" w:after="0"/>
              <w:jc w:val="center"/>
              <w:rPr>
                <w:rFonts w:ascii="Times New Roman" w:hAnsi="Times New Roman"/>
                <w:b w:val="false"/>
                <w:b w:val="false"/>
                <w:bCs w:val="false"/>
                <w:sz w:val="20"/>
                <w:szCs w:val="20"/>
              </w:rPr>
            </w:pPr>
            <w:r>
              <w:rPr>
                <w:rFonts w:ascii="Times New Roman" w:hAnsi="Times New Roman"/>
                <w:b w:val="false"/>
                <w:bCs w:val="false"/>
                <w:sz w:val="20"/>
                <w:szCs w:val="20"/>
              </w:rPr>
              <w:t>12</w:t>
            </w:r>
          </w:p>
        </w:tc>
        <w:tc>
          <w:tcPr>
            <w:tcW w:w="49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160"/>
              <w:jc w:val="left"/>
              <w:rPr>
                <w:rFonts w:ascii="Times New Roman" w:hAnsi="Times New Roman" w:cs="Times New Roman"/>
                <w:sz w:val="20"/>
                <w:szCs w:val="20"/>
              </w:rPr>
            </w:pPr>
            <w:r>
              <w:rPr>
                <w:rFonts w:cs="Times New Roman" w:ascii="Times New Roman" w:hAnsi="Times New Roman"/>
                <w:sz w:val="20"/>
                <w:szCs w:val="20"/>
              </w:rPr>
              <w:t>ESCOVA DE ROBINSON RETA.</w:t>
            </w:r>
          </w:p>
        </w:tc>
        <w:tc>
          <w:tcPr>
            <w:tcW w:w="108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0"/>
              <w:jc w:val="center"/>
              <w:rPr>
                <w:rFonts w:ascii="Times New Roman" w:hAnsi="Times New Roman" w:cs="Times New Roman"/>
              </w:rPr>
            </w:pPr>
            <w:r>
              <w:rPr>
                <w:rFonts w:cs="Times New Roman" w:ascii="Times New Roman" w:hAnsi="Times New Roman"/>
              </w:rPr>
              <w:t>UND</w:t>
            </w:r>
          </w:p>
        </w:tc>
        <w:tc>
          <w:tcPr>
            <w:tcW w:w="56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0"/>
              <w:jc w:val="center"/>
              <w:rPr>
                <w:rFonts w:ascii="Times New Roman" w:hAnsi="Times New Roman" w:cs="Times New Roman"/>
              </w:rPr>
            </w:pPr>
            <w:r>
              <w:rPr>
                <w:rFonts w:cs="Times New Roman" w:ascii="Times New Roman" w:hAnsi="Times New Roman"/>
              </w:rPr>
              <w:t>20</w:t>
            </w:r>
          </w:p>
        </w:tc>
        <w:tc>
          <w:tcPr>
            <w:tcW w:w="153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Standard"/>
              <w:spacing w:lineRule="auto" w:line="240" w:before="0" w:after="0"/>
              <w:jc w:val="center"/>
              <w:rPr>
                <w:rFonts w:ascii="Times New Roman" w:hAnsi="Times New Roman"/>
                <w:sz w:val="20"/>
                <w:szCs w:val="20"/>
              </w:rPr>
            </w:pPr>
            <w:r>
              <w:rPr>
                <w:rFonts w:ascii="Times New Roman" w:hAnsi="Times New Roman"/>
                <w:sz w:val="20"/>
                <w:szCs w:val="20"/>
              </w:rPr>
              <w:t>R$ 7,55</w:t>
            </w:r>
          </w:p>
        </w:tc>
        <w:tc>
          <w:tcPr>
            <w:tcW w:w="135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 w:type="dxa"/>
              <w:right w:w="10" w:type="dxa"/>
            </w:tcMar>
            <w:vAlign w:val="center"/>
          </w:tcPr>
          <w:p>
            <w:pPr>
              <w:pStyle w:val="Standard"/>
              <w:spacing w:lineRule="auto" w:line="240" w:before="0" w:after="0"/>
              <w:jc w:val="center"/>
              <w:rPr>
                <w:rFonts w:ascii="Times New Roman" w:hAnsi="Times New Roman"/>
                <w:sz w:val="20"/>
                <w:szCs w:val="20"/>
              </w:rPr>
            </w:pPr>
            <w:r>
              <w:rPr>
                <w:rFonts w:ascii="Times New Roman" w:hAnsi="Times New Roman"/>
                <w:sz w:val="20"/>
                <w:szCs w:val="20"/>
              </w:rPr>
              <w:t>R$ 151,00</w:t>
            </w:r>
          </w:p>
        </w:tc>
      </w:tr>
      <w:tr>
        <w:trPr/>
        <w:tc>
          <w:tcPr>
            <w:tcW w:w="67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Standard"/>
              <w:spacing w:lineRule="auto" w:line="240" w:before="0" w:after="0"/>
              <w:jc w:val="center"/>
              <w:rPr>
                <w:rFonts w:ascii="Times New Roman" w:hAnsi="Times New Roman"/>
                <w:b w:val="false"/>
                <w:b w:val="false"/>
                <w:bCs w:val="false"/>
                <w:sz w:val="20"/>
                <w:szCs w:val="20"/>
              </w:rPr>
            </w:pPr>
            <w:r>
              <w:rPr>
                <w:rFonts w:ascii="Times New Roman" w:hAnsi="Times New Roman"/>
                <w:b w:val="false"/>
                <w:bCs w:val="false"/>
                <w:sz w:val="20"/>
                <w:szCs w:val="20"/>
              </w:rPr>
              <w:t>13</w:t>
            </w:r>
          </w:p>
        </w:tc>
        <w:tc>
          <w:tcPr>
            <w:tcW w:w="49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160"/>
              <w:jc w:val="left"/>
              <w:rPr>
                <w:rFonts w:ascii="Times New Roman" w:hAnsi="Times New Roman" w:cs="Times New Roman"/>
                <w:sz w:val="20"/>
                <w:szCs w:val="20"/>
              </w:rPr>
            </w:pPr>
            <w:r>
              <w:rPr>
                <w:rFonts w:cs="Times New Roman" w:ascii="Times New Roman" w:hAnsi="Times New Roman"/>
                <w:sz w:val="20"/>
                <w:szCs w:val="20"/>
              </w:rPr>
              <w:t>EDTA TRISSÓDICO 20% , LÍQUIDO</w:t>
            </w:r>
          </w:p>
        </w:tc>
        <w:tc>
          <w:tcPr>
            <w:tcW w:w="108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0"/>
              <w:jc w:val="center"/>
              <w:rPr>
                <w:rFonts w:ascii="Times New Roman" w:hAnsi="Times New Roman" w:cs="Times New Roman"/>
              </w:rPr>
            </w:pPr>
            <w:r>
              <w:rPr>
                <w:rFonts w:cs="Times New Roman" w:ascii="Times New Roman" w:hAnsi="Times New Roman"/>
              </w:rPr>
              <w:t>UND</w:t>
            </w:r>
          </w:p>
        </w:tc>
        <w:tc>
          <w:tcPr>
            <w:tcW w:w="56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0"/>
              <w:jc w:val="center"/>
              <w:rPr>
                <w:rFonts w:ascii="Times New Roman" w:hAnsi="Times New Roman" w:cs="Times New Roman"/>
              </w:rPr>
            </w:pPr>
            <w:r>
              <w:rPr>
                <w:rFonts w:cs="Times New Roman" w:ascii="Times New Roman" w:hAnsi="Times New Roman"/>
              </w:rPr>
              <w:t>6</w:t>
            </w:r>
          </w:p>
        </w:tc>
        <w:tc>
          <w:tcPr>
            <w:tcW w:w="153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Standard"/>
              <w:spacing w:lineRule="auto" w:line="240" w:before="0" w:after="0"/>
              <w:jc w:val="center"/>
              <w:rPr>
                <w:rFonts w:ascii="Times New Roman" w:hAnsi="Times New Roman"/>
                <w:sz w:val="20"/>
                <w:szCs w:val="20"/>
              </w:rPr>
            </w:pPr>
            <w:r>
              <w:rPr>
                <w:rFonts w:ascii="Times New Roman" w:hAnsi="Times New Roman"/>
                <w:sz w:val="20"/>
                <w:szCs w:val="20"/>
              </w:rPr>
              <w:t>R$ 37,82</w:t>
            </w:r>
          </w:p>
        </w:tc>
        <w:tc>
          <w:tcPr>
            <w:tcW w:w="135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 w:type="dxa"/>
              <w:right w:w="10" w:type="dxa"/>
            </w:tcMar>
            <w:vAlign w:val="center"/>
          </w:tcPr>
          <w:p>
            <w:pPr>
              <w:pStyle w:val="Standard"/>
              <w:spacing w:lineRule="auto" w:line="240" w:before="0" w:after="0"/>
              <w:jc w:val="center"/>
              <w:rPr>
                <w:rFonts w:ascii="Times New Roman" w:hAnsi="Times New Roman"/>
                <w:sz w:val="20"/>
                <w:szCs w:val="20"/>
              </w:rPr>
            </w:pPr>
            <w:r>
              <w:rPr>
                <w:rFonts w:ascii="Times New Roman" w:hAnsi="Times New Roman"/>
                <w:sz w:val="20"/>
                <w:szCs w:val="20"/>
              </w:rPr>
              <w:t>R$ 226,92</w:t>
            </w:r>
          </w:p>
        </w:tc>
      </w:tr>
      <w:tr>
        <w:trPr/>
        <w:tc>
          <w:tcPr>
            <w:tcW w:w="67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Standard"/>
              <w:spacing w:lineRule="auto" w:line="240" w:before="0" w:after="0"/>
              <w:jc w:val="center"/>
              <w:rPr>
                <w:rFonts w:ascii="Times New Roman" w:hAnsi="Times New Roman"/>
                <w:b w:val="false"/>
                <w:b w:val="false"/>
                <w:bCs w:val="false"/>
                <w:sz w:val="20"/>
                <w:szCs w:val="20"/>
              </w:rPr>
            </w:pPr>
            <w:r>
              <w:rPr>
                <w:rFonts w:ascii="Times New Roman" w:hAnsi="Times New Roman"/>
                <w:b w:val="false"/>
                <w:bCs w:val="false"/>
                <w:sz w:val="20"/>
                <w:szCs w:val="20"/>
              </w:rPr>
              <w:t>14</w:t>
            </w:r>
          </w:p>
        </w:tc>
        <w:tc>
          <w:tcPr>
            <w:tcW w:w="49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160"/>
              <w:jc w:val="left"/>
              <w:rPr>
                <w:rFonts w:ascii="Times New Roman" w:hAnsi="Times New Roman" w:cs="Times New Roman"/>
                <w:sz w:val="20"/>
                <w:szCs w:val="20"/>
              </w:rPr>
            </w:pPr>
            <w:r>
              <w:rPr>
                <w:rFonts w:cs="Times New Roman" w:ascii="Times New Roman" w:hAnsi="Times New Roman"/>
                <w:sz w:val="20"/>
                <w:szCs w:val="20"/>
              </w:rPr>
              <w:t>REVELADOR RAIO X  ODONTOLÓGICO, 475ML</w:t>
            </w:r>
          </w:p>
        </w:tc>
        <w:tc>
          <w:tcPr>
            <w:tcW w:w="108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0"/>
              <w:jc w:val="center"/>
              <w:rPr>
                <w:rFonts w:ascii="Times New Roman" w:hAnsi="Times New Roman" w:cs="Times New Roman"/>
              </w:rPr>
            </w:pPr>
            <w:r>
              <w:rPr>
                <w:rFonts w:cs="Times New Roman" w:ascii="Times New Roman" w:hAnsi="Times New Roman"/>
              </w:rPr>
              <w:t>UND</w:t>
            </w:r>
          </w:p>
        </w:tc>
        <w:tc>
          <w:tcPr>
            <w:tcW w:w="56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0"/>
              <w:jc w:val="center"/>
              <w:rPr>
                <w:rFonts w:ascii="Times New Roman" w:hAnsi="Times New Roman" w:cs="Times New Roman"/>
              </w:rPr>
            </w:pPr>
            <w:r>
              <w:rPr>
                <w:rFonts w:cs="Times New Roman" w:ascii="Times New Roman" w:hAnsi="Times New Roman"/>
              </w:rPr>
              <w:t>6</w:t>
            </w:r>
          </w:p>
        </w:tc>
        <w:tc>
          <w:tcPr>
            <w:tcW w:w="153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Standard"/>
              <w:spacing w:lineRule="auto" w:line="240" w:before="0" w:after="0"/>
              <w:jc w:val="center"/>
              <w:rPr>
                <w:rFonts w:ascii="Times New Roman" w:hAnsi="Times New Roman"/>
                <w:sz w:val="20"/>
                <w:szCs w:val="20"/>
              </w:rPr>
            </w:pPr>
            <w:r>
              <w:rPr>
                <w:rFonts w:ascii="Times New Roman" w:hAnsi="Times New Roman"/>
                <w:sz w:val="20"/>
                <w:szCs w:val="20"/>
              </w:rPr>
              <w:t>R$ 40,93</w:t>
            </w:r>
          </w:p>
        </w:tc>
        <w:tc>
          <w:tcPr>
            <w:tcW w:w="135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 w:type="dxa"/>
              <w:right w:w="10" w:type="dxa"/>
            </w:tcMar>
            <w:vAlign w:val="center"/>
          </w:tcPr>
          <w:p>
            <w:pPr>
              <w:pStyle w:val="Standard"/>
              <w:spacing w:lineRule="auto" w:line="240" w:before="0" w:after="0"/>
              <w:jc w:val="center"/>
              <w:rPr>
                <w:rFonts w:ascii="Times New Roman" w:hAnsi="Times New Roman"/>
                <w:sz w:val="20"/>
                <w:szCs w:val="20"/>
              </w:rPr>
            </w:pPr>
            <w:r>
              <w:rPr>
                <w:rFonts w:ascii="Times New Roman" w:hAnsi="Times New Roman"/>
                <w:sz w:val="20"/>
                <w:szCs w:val="20"/>
              </w:rPr>
              <w:t>R$ 245,58</w:t>
            </w:r>
          </w:p>
        </w:tc>
      </w:tr>
      <w:tr>
        <w:trPr/>
        <w:tc>
          <w:tcPr>
            <w:tcW w:w="67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Standard"/>
              <w:spacing w:lineRule="auto" w:line="240" w:before="0" w:after="0"/>
              <w:jc w:val="center"/>
              <w:rPr>
                <w:rFonts w:ascii="Times New Roman" w:hAnsi="Times New Roman"/>
                <w:b w:val="false"/>
                <w:b w:val="false"/>
                <w:bCs w:val="false"/>
                <w:sz w:val="20"/>
                <w:szCs w:val="20"/>
              </w:rPr>
            </w:pPr>
            <w:r>
              <w:rPr>
                <w:rFonts w:ascii="Times New Roman" w:hAnsi="Times New Roman"/>
                <w:b w:val="false"/>
                <w:bCs w:val="false"/>
                <w:sz w:val="20"/>
                <w:szCs w:val="20"/>
              </w:rPr>
              <w:t>15</w:t>
            </w:r>
          </w:p>
        </w:tc>
        <w:tc>
          <w:tcPr>
            <w:tcW w:w="49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160"/>
              <w:jc w:val="left"/>
              <w:rPr>
                <w:rFonts w:ascii="Times New Roman" w:hAnsi="Times New Roman" w:cs="Times New Roman"/>
                <w:sz w:val="20"/>
                <w:szCs w:val="20"/>
              </w:rPr>
            </w:pPr>
            <w:r>
              <w:rPr>
                <w:rFonts w:cs="Times New Roman" w:ascii="Times New Roman" w:hAnsi="Times New Roman"/>
                <w:sz w:val="20"/>
                <w:szCs w:val="20"/>
              </w:rPr>
              <w:t>FIXADOR RAIO X ODONTOLÓGICO, 475ML</w:t>
            </w:r>
          </w:p>
        </w:tc>
        <w:tc>
          <w:tcPr>
            <w:tcW w:w="108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0"/>
              <w:jc w:val="center"/>
              <w:rPr>
                <w:rFonts w:ascii="Times New Roman" w:hAnsi="Times New Roman" w:cs="Times New Roman"/>
              </w:rPr>
            </w:pPr>
            <w:r>
              <w:rPr>
                <w:rFonts w:cs="Times New Roman" w:ascii="Times New Roman" w:hAnsi="Times New Roman"/>
              </w:rPr>
              <w:t>UND</w:t>
            </w:r>
          </w:p>
        </w:tc>
        <w:tc>
          <w:tcPr>
            <w:tcW w:w="56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0"/>
              <w:jc w:val="center"/>
              <w:rPr>
                <w:rFonts w:ascii="Times New Roman" w:hAnsi="Times New Roman" w:cs="Times New Roman"/>
              </w:rPr>
            </w:pPr>
            <w:r>
              <w:rPr>
                <w:rFonts w:cs="Times New Roman" w:ascii="Times New Roman" w:hAnsi="Times New Roman"/>
              </w:rPr>
              <w:t>6</w:t>
            </w:r>
          </w:p>
        </w:tc>
        <w:tc>
          <w:tcPr>
            <w:tcW w:w="153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Standard"/>
              <w:spacing w:lineRule="auto" w:line="240" w:before="0" w:after="0"/>
              <w:jc w:val="center"/>
              <w:rPr>
                <w:rFonts w:ascii="Times New Roman" w:hAnsi="Times New Roman"/>
                <w:sz w:val="20"/>
                <w:szCs w:val="20"/>
              </w:rPr>
            </w:pPr>
            <w:r>
              <w:rPr>
                <w:rFonts w:ascii="Times New Roman" w:hAnsi="Times New Roman"/>
                <w:sz w:val="20"/>
                <w:szCs w:val="20"/>
              </w:rPr>
              <w:t>R$ 50,10</w:t>
            </w:r>
          </w:p>
        </w:tc>
        <w:tc>
          <w:tcPr>
            <w:tcW w:w="135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 w:type="dxa"/>
              <w:right w:w="10" w:type="dxa"/>
            </w:tcMar>
            <w:vAlign w:val="center"/>
          </w:tcPr>
          <w:p>
            <w:pPr>
              <w:pStyle w:val="Standard"/>
              <w:spacing w:lineRule="auto" w:line="240" w:before="0" w:after="0"/>
              <w:jc w:val="center"/>
              <w:rPr>
                <w:rFonts w:ascii="Times New Roman" w:hAnsi="Times New Roman"/>
                <w:sz w:val="20"/>
                <w:szCs w:val="20"/>
              </w:rPr>
            </w:pPr>
            <w:r>
              <w:rPr>
                <w:rFonts w:ascii="Times New Roman" w:hAnsi="Times New Roman"/>
                <w:sz w:val="20"/>
                <w:szCs w:val="20"/>
              </w:rPr>
              <w:t>R$ 300,60</w:t>
            </w:r>
          </w:p>
        </w:tc>
      </w:tr>
      <w:tr>
        <w:trPr/>
        <w:tc>
          <w:tcPr>
            <w:tcW w:w="67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Standard"/>
              <w:spacing w:lineRule="auto" w:line="240" w:before="0" w:after="0"/>
              <w:jc w:val="center"/>
              <w:rPr>
                <w:rFonts w:ascii="Times New Roman" w:hAnsi="Times New Roman"/>
                <w:b w:val="false"/>
                <w:b w:val="false"/>
                <w:bCs w:val="false"/>
                <w:sz w:val="20"/>
                <w:szCs w:val="20"/>
              </w:rPr>
            </w:pPr>
            <w:r>
              <w:rPr>
                <w:rFonts w:ascii="Times New Roman" w:hAnsi="Times New Roman"/>
                <w:b w:val="false"/>
                <w:bCs w:val="false"/>
                <w:sz w:val="20"/>
                <w:szCs w:val="20"/>
              </w:rPr>
              <w:t>16</w:t>
            </w:r>
          </w:p>
        </w:tc>
        <w:tc>
          <w:tcPr>
            <w:tcW w:w="49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160"/>
              <w:jc w:val="left"/>
              <w:rPr>
                <w:rFonts w:ascii="Times New Roman" w:hAnsi="Times New Roman"/>
                <w:sz w:val="20"/>
                <w:szCs w:val="20"/>
              </w:rPr>
            </w:pPr>
            <w:r>
              <w:rPr>
                <w:rFonts w:ascii="Times New Roman" w:hAnsi="Times New Roman"/>
                <w:sz w:val="20"/>
                <w:szCs w:val="20"/>
              </w:rPr>
              <w:t>CLOREXIDINA 0,12%, FRASCO 1LT</w:t>
            </w:r>
          </w:p>
        </w:tc>
        <w:tc>
          <w:tcPr>
            <w:tcW w:w="108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0"/>
              <w:jc w:val="center"/>
              <w:rPr/>
            </w:pPr>
            <w:r>
              <w:rPr/>
              <w:t>UND</w:t>
            </w:r>
          </w:p>
        </w:tc>
        <w:tc>
          <w:tcPr>
            <w:tcW w:w="56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0"/>
              <w:jc w:val="center"/>
              <w:rPr/>
            </w:pPr>
            <w:r>
              <w:rPr/>
              <w:t>6</w:t>
            </w:r>
          </w:p>
        </w:tc>
        <w:tc>
          <w:tcPr>
            <w:tcW w:w="153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Standard"/>
              <w:spacing w:lineRule="auto" w:line="240" w:before="0" w:after="0"/>
              <w:jc w:val="center"/>
              <w:rPr>
                <w:rFonts w:ascii="Times New Roman" w:hAnsi="Times New Roman"/>
                <w:sz w:val="20"/>
                <w:szCs w:val="20"/>
              </w:rPr>
            </w:pPr>
            <w:r>
              <w:rPr>
                <w:rFonts w:ascii="Times New Roman" w:hAnsi="Times New Roman"/>
                <w:sz w:val="20"/>
                <w:szCs w:val="20"/>
              </w:rPr>
              <w:t>R$ 55,35</w:t>
            </w:r>
          </w:p>
        </w:tc>
        <w:tc>
          <w:tcPr>
            <w:tcW w:w="135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 w:type="dxa"/>
              <w:right w:w="10" w:type="dxa"/>
            </w:tcMar>
            <w:vAlign w:val="center"/>
          </w:tcPr>
          <w:p>
            <w:pPr>
              <w:pStyle w:val="Standard"/>
              <w:spacing w:lineRule="auto" w:line="240" w:before="0" w:after="0"/>
              <w:jc w:val="center"/>
              <w:rPr>
                <w:rFonts w:ascii="Times New Roman" w:hAnsi="Times New Roman"/>
                <w:sz w:val="20"/>
                <w:szCs w:val="20"/>
              </w:rPr>
            </w:pPr>
            <w:r>
              <w:rPr>
                <w:rFonts w:ascii="Times New Roman" w:hAnsi="Times New Roman"/>
                <w:sz w:val="20"/>
                <w:szCs w:val="20"/>
              </w:rPr>
              <w:t>R$ 332,10</w:t>
            </w:r>
          </w:p>
        </w:tc>
      </w:tr>
      <w:tr>
        <w:trPr/>
        <w:tc>
          <w:tcPr>
            <w:tcW w:w="67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Standard"/>
              <w:spacing w:lineRule="auto" w:line="240" w:before="0" w:after="0"/>
              <w:jc w:val="center"/>
              <w:rPr>
                <w:rFonts w:ascii="Times New Roman" w:hAnsi="Times New Roman"/>
                <w:b w:val="false"/>
                <w:b w:val="false"/>
                <w:bCs w:val="false"/>
                <w:sz w:val="20"/>
                <w:szCs w:val="20"/>
              </w:rPr>
            </w:pPr>
            <w:r>
              <w:rPr>
                <w:rFonts w:ascii="Times New Roman" w:hAnsi="Times New Roman"/>
                <w:b w:val="false"/>
                <w:bCs w:val="false"/>
                <w:sz w:val="20"/>
                <w:szCs w:val="20"/>
              </w:rPr>
              <w:t>17</w:t>
            </w:r>
          </w:p>
        </w:tc>
        <w:tc>
          <w:tcPr>
            <w:tcW w:w="49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160"/>
              <w:jc w:val="left"/>
              <w:rPr>
                <w:rFonts w:ascii="Times New Roman" w:hAnsi="Times New Roman"/>
                <w:sz w:val="20"/>
                <w:szCs w:val="20"/>
              </w:rPr>
            </w:pPr>
            <w:r>
              <w:rPr>
                <w:rFonts w:ascii="Times New Roman" w:hAnsi="Times New Roman"/>
                <w:sz w:val="20"/>
                <w:szCs w:val="20"/>
              </w:rPr>
              <w:t>ALGINATO JELTRATE, PACOTE, 410G</w:t>
            </w:r>
          </w:p>
        </w:tc>
        <w:tc>
          <w:tcPr>
            <w:tcW w:w="108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0"/>
              <w:jc w:val="center"/>
              <w:rPr/>
            </w:pPr>
            <w:r>
              <w:rPr/>
              <w:t>UND</w:t>
            </w:r>
          </w:p>
        </w:tc>
        <w:tc>
          <w:tcPr>
            <w:tcW w:w="56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0"/>
              <w:jc w:val="center"/>
              <w:rPr/>
            </w:pPr>
            <w:r>
              <w:rPr/>
              <w:t>6</w:t>
            </w:r>
          </w:p>
        </w:tc>
        <w:tc>
          <w:tcPr>
            <w:tcW w:w="153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Standard"/>
              <w:spacing w:lineRule="auto" w:line="240" w:before="0" w:after="0"/>
              <w:jc w:val="center"/>
              <w:rPr>
                <w:rFonts w:ascii="Times New Roman" w:hAnsi="Times New Roman"/>
                <w:sz w:val="20"/>
                <w:szCs w:val="20"/>
              </w:rPr>
            </w:pPr>
            <w:r>
              <w:rPr>
                <w:rFonts w:ascii="Times New Roman" w:hAnsi="Times New Roman"/>
                <w:sz w:val="20"/>
                <w:szCs w:val="20"/>
              </w:rPr>
              <w:t>R$ 65,86</w:t>
            </w:r>
          </w:p>
        </w:tc>
        <w:tc>
          <w:tcPr>
            <w:tcW w:w="135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 w:type="dxa"/>
              <w:right w:w="10" w:type="dxa"/>
            </w:tcMar>
            <w:vAlign w:val="center"/>
          </w:tcPr>
          <w:p>
            <w:pPr>
              <w:pStyle w:val="Standard"/>
              <w:spacing w:lineRule="auto" w:line="240" w:before="0" w:after="0"/>
              <w:jc w:val="center"/>
              <w:rPr>
                <w:rFonts w:ascii="Times New Roman" w:hAnsi="Times New Roman"/>
                <w:sz w:val="20"/>
                <w:szCs w:val="20"/>
              </w:rPr>
            </w:pPr>
            <w:r>
              <w:rPr>
                <w:rFonts w:ascii="Times New Roman" w:hAnsi="Times New Roman"/>
                <w:sz w:val="20"/>
                <w:szCs w:val="20"/>
              </w:rPr>
              <w:t>R$ 395,16</w:t>
            </w:r>
          </w:p>
        </w:tc>
      </w:tr>
      <w:tr>
        <w:trPr/>
        <w:tc>
          <w:tcPr>
            <w:tcW w:w="67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Standard"/>
              <w:spacing w:lineRule="auto" w:line="240" w:before="0" w:after="0"/>
              <w:jc w:val="center"/>
              <w:rPr>
                <w:rFonts w:ascii="Times New Roman" w:hAnsi="Times New Roman"/>
                <w:b w:val="false"/>
                <w:b w:val="false"/>
                <w:bCs w:val="false"/>
                <w:sz w:val="20"/>
                <w:szCs w:val="20"/>
              </w:rPr>
            </w:pPr>
            <w:r>
              <w:rPr>
                <w:rFonts w:ascii="Times New Roman" w:hAnsi="Times New Roman"/>
                <w:b w:val="false"/>
                <w:bCs w:val="false"/>
                <w:sz w:val="20"/>
                <w:szCs w:val="20"/>
              </w:rPr>
              <w:t>18</w:t>
            </w:r>
          </w:p>
        </w:tc>
        <w:tc>
          <w:tcPr>
            <w:tcW w:w="49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160"/>
              <w:jc w:val="left"/>
              <w:rPr>
                <w:rFonts w:ascii="Times New Roman" w:hAnsi="Times New Roman"/>
                <w:sz w:val="20"/>
                <w:szCs w:val="20"/>
              </w:rPr>
            </w:pPr>
            <w:r>
              <w:rPr>
                <w:rFonts w:ascii="Times New Roman" w:hAnsi="Times New Roman"/>
                <w:sz w:val="20"/>
                <w:szCs w:val="20"/>
              </w:rPr>
              <w:t>SUGADOR ENDODÔNTICO DESCARTÁVEL COM 20 UND</w:t>
            </w:r>
          </w:p>
        </w:tc>
        <w:tc>
          <w:tcPr>
            <w:tcW w:w="108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0"/>
              <w:jc w:val="center"/>
              <w:rPr/>
            </w:pPr>
            <w:r>
              <w:rPr/>
              <w:t>UND</w:t>
            </w:r>
          </w:p>
        </w:tc>
        <w:tc>
          <w:tcPr>
            <w:tcW w:w="56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0"/>
              <w:jc w:val="center"/>
              <w:rPr/>
            </w:pPr>
            <w:r>
              <w:rPr/>
              <w:t>10</w:t>
            </w:r>
          </w:p>
        </w:tc>
        <w:tc>
          <w:tcPr>
            <w:tcW w:w="153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Standard"/>
              <w:spacing w:lineRule="auto" w:line="240" w:before="0" w:after="0"/>
              <w:jc w:val="center"/>
              <w:rPr>
                <w:rFonts w:ascii="Times New Roman" w:hAnsi="Times New Roman"/>
                <w:sz w:val="20"/>
                <w:szCs w:val="20"/>
              </w:rPr>
            </w:pPr>
            <w:r>
              <w:rPr>
                <w:rFonts w:ascii="Times New Roman" w:hAnsi="Times New Roman"/>
                <w:sz w:val="20"/>
                <w:szCs w:val="20"/>
              </w:rPr>
              <w:t>R$ 16,09</w:t>
            </w:r>
          </w:p>
        </w:tc>
        <w:tc>
          <w:tcPr>
            <w:tcW w:w="135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 w:type="dxa"/>
              <w:right w:w="10" w:type="dxa"/>
            </w:tcMar>
            <w:vAlign w:val="center"/>
          </w:tcPr>
          <w:p>
            <w:pPr>
              <w:pStyle w:val="Standard"/>
              <w:spacing w:lineRule="auto" w:line="240" w:before="0" w:after="0"/>
              <w:jc w:val="center"/>
              <w:rPr>
                <w:rFonts w:ascii="Times New Roman" w:hAnsi="Times New Roman"/>
                <w:sz w:val="20"/>
                <w:szCs w:val="20"/>
              </w:rPr>
            </w:pPr>
            <w:r>
              <w:rPr>
                <w:rFonts w:ascii="Times New Roman" w:hAnsi="Times New Roman"/>
                <w:sz w:val="20"/>
                <w:szCs w:val="20"/>
              </w:rPr>
              <w:t>R$ 160,90</w:t>
            </w:r>
          </w:p>
        </w:tc>
      </w:tr>
      <w:tr>
        <w:trPr/>
        <w:tc>
          <w:tcPr>
            <w:tcW w:w="67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Standard"/>
              <w:spacing w:lineRule="auto" w:line="240" w:before="0" w:after="0"/>
              <w:jc w:val="center"/>
              <w:rPr>
                <w:rFonts w:ascii="Times New Roman" w:hAnsi="Times New Roman"/>
                <w:b w:val="false"/>
                <w:b w:val="false"/>
                <w:bCs w:val="false"/>
                <w:sz w:val="20"/>
                <w:szCs w:val="20"/>
              </w:rPr>
            </w:pPr>
            <w:r>
              <w:rPr>
                <w:rFonts w:ascii="Times New Roman" w:hAnsi="Times New Roman"/>
                <w:b w:val="false"/>
                <w:bCs w:val="false"/>
                <w:sz w:val="20"/>
                <w:szCs w:val="20"/>
              </w:rPr>
              <w:t>19</w:t>
            </w:r>
          </w:p>
        </w:tc>
        <w:tc>
          <w:tcPr>
            <w:tcW w:w="49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160"/>
              <w:jc w:val="left"/>
              <w:rPr>
                <w:rFonts w:ascii="Times New Roman" w:hAnsi="Times New Roman"/>
                <w:sz w:val="20"/>
                <w:szCs w:val="20"/>
              </w:rPr>
            </w:pPr>
            <w:r>
              <w:rPr>
                <w:rFonts w:ascii="Times New Roman" w:hAnsi="Times New Roman"/>
                <w:sz w:val="20"/>
                <w:szCs w:val="20"/>
              </w:rPr>
              <w:t>SUGADOR CIRÚRGICO ESTÉRIL, EMB 40 UND</w:t>
            </w:r>
          </w:p>
        </w:tc>
        <w:tc>
          <w:tcPr>
            <w:tcW w:w="108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0"/>
              <w:jc w:val="center"/>
              <w:rPr/>
            </w:pPr>
            <w:r>
              <w:rPr/>
              <w:t>UND</w:t>
            </w:r>
          </w:p>
        </w:tc>
        <w:tc>
          <w:tcPr>
            <w:tcW w:w="56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0"/>
              <w:jc w:val="center"/>
              <w:rPr/>
            </w:pPr>
            <w:r>
              <w:rPr/>
              <w:t>5</w:t>
            </w:r>
          </w:p>
        </w:tc>
        <w:tc>
          <w:tcPr>
            <w:tcW w:w="153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Standard"/>
              <w:spacing w:lineRule="auto" w:line="240" w:before="0" w:after="0"/>
              <w:jc w:val="center"/>
              <w:rPr>
                <w:rFonts w:ascii="Times New Roman" w:hAnsi="Times New Roman"/>
                <w:sz w:val="20"/>
                <w:szCs w:val="20"/>
              </w:rPr>
            </w:pPr>
            <w:r>
              <w:rPr>
                <w:rFonts w:ascii="Times New Roman" w:hAnsi="Times New Roman"/>
                <w:sz w:val="20"/>
                <w:szCs w:val="20"/>
              </w:rPr>
              <w:t>R$ 20,14</w:t>
            </w:r>
          </w:p>
        </w:tc>
        <w:tc>
          <w:tcPr>
            <w:tcW w:w="135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 w:type="dxa"/>
              <w:right w:w="10" w:type="dxa"/>
            </w:tcMar>
            <w:vAlign w:val="center"/>
          </w:tcPr>
          <w:p>
            <w:pPr>
              <w:pStyle w:val="Standard"/>
              <w:spacing w:lineRule="auto" w:line="240" w:before="0" w:after="0"/>
              <w:jc w:val="center"/>
              <w:rPr>
                <w:rFonts w:ascii="Times New Roman" w:hAnsi="Times New Roman"/>
                <w:sz w:val="20"/>
                <w:szCs w:val="20"/>
              </w:rPr>
            </w:pPr>
            <w:r>
              <w:rPr>
                <w:rFonts w:ascii="Times New Roman" w:hAnsi="Times New Roman"/>
                <w:sz w:val="20"/>
                <w:szCs w:val="20"/>
              </w:rPr>
              <w:t>R$ 100,70</w:t>
            </w:r>
          </w:p>
        </w:tc>
      </w:tr>
      <w:tr>
        <w:trPr/>
        <w:tc>
          <w:tcPr>
            <w:tcW w:w="67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Standard"/>
              <w:spacing w:lineRule="auto" w:line="240" w:before="0" w:after="0"/>
              <w:jc w:val="center"/>
              <w:rPr>
                <w:rFonts w:ascii="Times New Roman" w:hAnsi="Times New Roman"/>
                <w:b w:val="false"/>
                <w:b w:val="false"/>
                <w:bCs w:val="false"/>
                <w:sz w:val="20"/>
                <w:szCs w:val="20"/>
              </w:rPr>
            </w:pPr>
            <w:r>
              <w:rPr>
                <w:rFonts w:ascii="Times New Roman" w:hAnsi="Times New Roman"/>
                <w:b w:val="false"/>
                <w:bCs w:val="false"/>
                <w:sz w:val="20"/>
                <w:szCs w:val="20"/>
              </w:rPr>
              <w:t>20</w:t>
            </w:r>
          </w:p>
        </w:tc>
        <w:tc>
          <w:tcPr>
            <w:tcW w:w="49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160"/>
              <w:jc w:val="left"/>
              <w:rPr>
                <w:rFonts w:ascii="Times New Roman" w:hAnsi="Times New Roman"/>
                <w:sz w:val="20"/>
                <w:szCs w:val="20"/>
              </w:rPr>
            </w:pPr>
            <w:r>
              <w:rPr>
                <w:rFonts w:ascii="Times New Roman" w:hAnsi="Times New Roman"/>
                <w:sz w:val="20"/>
                <w:szCs w:val="20"/>
              </w:rPr>
              <w:t>PAPEL GRAU CIRÚRGICO 300MMX100M, ROLO.</w:t>
            </w:r>
          </w:p>
        </w:tc>
        <w:tc>
          <w:tcPr>
            <w:tcW w:w="108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0"/>
              <w:jc w:val="center"/>
              <w:rPr/>
            </w:pPr>
            <w:r>
              <w:rPr/>
              <w:t>UND</w:t>
            </w:r>
          </w:p>
        </w:tc>
        <w:tc>
          <w:tcPr>
            <w:tcW w:w="56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0"/>
              <w:jc w:val="center"/>
              <w:rPr/>
            </w:pPr>
            <w:r>
              <w:rPr/>
              <w:t>6</w:t>
            </w:r>
          </w:p>
        </w:tc>
        <w:tc>
          <w:tcPr>
            <w:tcW w:w="153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Standard"/>
              <w:spacing w:lineRule="auto" w:line="240" w:before="0" w:after="0"/>
              <w:jc w:val="center"/>
              <w:rPr>
                <w:rFonts w:ascii="Times New Roman" w:hAnsi="Times New Roman"/>
                <w:sz w:val="20"/>
                <w:szCs w:val="20"/>
              </w:rPr>
            </w:pPr>
            <w:r>
              <w:rPr>
                <w:rFonts w:ascii="Times New Roman" w:hAnsi="Times New Roman"/>
                <w:sz w:val="20"/>
                <w:szCs w:val="20"/>
              </w:rPr>
              <w:t>R$ 280,09</w:t>
            </w:r>
          </w:p>
        </w:tc>
        <w:tc>
          <w:tcPr>
            <w:tcW w:w="135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 w:type="dxa"/>
              <w:right w:w="10" w:type="dxa"/>
            </w:tcMar>
            <w:vAlign w:val="center"/>
          </w:tcPr>
          <w:p>
            <w:pPr>
              <w:pStyle w:val="Standard"/>
              <w:spacing w:lineRule="auto" w:line="240" w:before="0" w:after="0"/>
              <w:jc w:val="center"/>
              <w:rPr>
                <w:rFonts w:ascii="Times New Roman" w:hAnsi="Times New Roman"/>
                <w:sz w:val="20"/>
                <w:szCs w:val="20"/>
              </w:rPr>
            </w:pPr>
            <w:r>
              <w:rPr>
                <w:rFonts w:ascii="Times New Roman" w:hAnsi="Times New Roman"/>
                <w:sz w:val="20"/>
                <w:szCs w:val="20"/>
              </w:rPr>
              <w:t>R$ 1.680,54</w:t>
            </w:r>
          </w:p>
        </w:tc>
      </w:tr>
      <w:tr>
        <w:trPr/>
        <w:tc>
          <w:tcPr>
            <w:tcW w:w="67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Standard"/>
              <w:spacing w:lineRule="auto" w:line="240" w:before="0" w:after="0"/>
              <w:jc w:val="center"/>
              <w:rPr>
                <w:rFonts w:ascii="Times New Roman" w:hAnsi="Times New Roman"/>
                <w:b w:val="false"/>
                <w:b w:val="false"/>
                <w:bCs w:val="false"/>
                <w:sz w:val="20"/>
                <w:szCs w:val="20"/>
              </w:rPr>
            </w:pPr>
            <w:r>
              <w:rPr>
                <w:rFonts w:ascii="Times New Roman" w:hAnsi="Times New Roman"/>
                <w:b w:val="false"/>
                <w:bCs w:val="false"/>
                <w:sz w:val="20"/>
                <w:szCs w:val="20"/>
              </w:rPr>
              <w:t>21</w:t>
            </w:r>
          </w:p>
        </w:tc>
        <w:tc>
          <w:tcPr>
            <w:tcW w:w="49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tabs>
                <w:tab w:val="left" w:pos="1814" w:leader="none"/>
              </w:tabs>
              <w:spacing w:lineRule="auto" w:line="276" w:before="0" w:after="160"/>
              <w:jc w:val="left"/>
              <w:rPr>
                <w:rFonts w:ascii="Times New Roman" w:hAnsi="Times New Roman"/>
                <w:sz w:val="20"/>
                <w:szCs w:val="20"/>
              </w:rPr>
            </w:pPr>
            <w:r>
              <w:rPr>
                <w:rFonts w:ascii="Times New Roman" w:hAnsi="Times New Roman"/>
                <w:sz w:val="20"/>
                <w:szCs w:val="20"/>
              </w:rPr>
              <w:t>CIMENTO  PROVISÓRIO, 20G</w:t>
            </w:r>
          </w:p>
        </w:tc>
        <w:tc>
          <w:tcPr>
            <w:tcW w:w="108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0"/>
              <w:jc w:val="center"/>
              <w:rPr/>
            </w:pPr>
            <w:r>
              <w:rPr/>
              <w:t>UND</w:t>
            </w:r>
          </w:p>
        </w:tc>
        <w:tc>
          <w:tcPr>
            <w:tcW w:w="56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0"/>
              <w:jc w:val="center"/>
              <w:rPr/>
            </w:pPr>
            <w:r>
              <w:rPr/>
              <w:t>6</w:t>
            </w:r>
          </w:p>
        </w:tc>
        <w:tc>
          <w:tcPr>
            <w:tcW w:w="153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Standard"/>
              <w:spacing w:lineRule="auto" w:line="240" w:before="0" w:after="0"/>
              <w:jc w:val="center"/>
              <w:rPr>
                <w:rFonts w:ascii="Times New Roman" w:hAnsi="Times New Roman"/>
                <w:sz w:val="20"/>
                <w:szCs w:val="20"/>
              </w:rPr>
            </w:pPr>
            <w:r>
              <w:rPr>
                <w:rFonts w:ascii="Times New Roman" w:hAnsi="Times New Roman"/>
                <w:sz w:val="20"/>
                <w:szCs w:val="20"/>
              </w:rPr>
              <w:t>R$ 42,90</w:t>
            </w:r>
          </w:p>
        </w:tc>
        <w:tc>
          <w:tcPr>
            <w:tcW w:w="135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 w:type="dxa"/>
              <w:right w:w="10" w:type="dxa"/>
            </w:tcMar>
            <w:vAlign w:val="center"/>
          </w:tcPr>
          <w:p>
            <w:pPr>
              <w:pStyle w:val="Standard"/>
              <w:spacing w:lineRule="auto" w:line="240" w:before="0" w:after="0"/>
              <w:jc w:val="center"/>
              <w:rPr>
                <w:rFonts w:ascii="Times New Roman" w:hAnsi="Times New Roman"/>
                <w:sz w:val="20"/>
                <w:szCs w:val="20"/>
              </w:rPr>
            </w:pPr>
            <w:r>
              <w:rPr>
                <w:rFonts w:ascii="Times New Roman" w:hAnsi="Times New Roman"/>
                <w:sz w:val="20"/>
                <w:szCs w:val="20"/>
              </w:rPr>
              <w:t>R$ 257,40</w:t>
            </w:r>
          </w:p>
        </w:tc>
      </w:tr>
      <w:tr>
        <w:trPr/>
        <w:tc>
          <w:tcPr>
            <w:tcW w:w="67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Standard"/>
              <w:spacing w:lineRule="auto" w:line="240" w:before="0" w:after="0"/>
              <w:jc w:val="center"/>
              <w:rPr>
                <w:rFonts w:ascii="Times New Roman" w:hAnsi="Times New Roman"/>
                <w:b w:val="false"/>
                <w:b w:val="false"/>
                <w:bCs w:val="false"/>
                <w:sz w:val="20"/>
                <w:szCs w:val="20"/>
              </w:rPr>
            </w:pPr>
            <w:r>
              <w:rPr>
                <w:rFonts w:ascii="Times New Roman" w:hAnsi="Times New Roman"/>
                <w:b w:val="false"/>
                <w:bCs w:val="false"/>
                <w:sz w:val="20"/>
                <w:szCs w:val="20"/>
              </w:rPr>
              <w:t>22</w:t>
            </w:r>
          </w:p>
        </w:tc>
        <w:tc>
          <w:tcPr>
            <w:tcW w:w="49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160"/>
              <w:jc w:val="left"/>
              <w:rPr>
                <w:rFonts w:ascii="Times New Roman" w:hAnsi="Times New Roman"/>
                <w:sz w:val="20"/>
                <w:szCs w:val="20"/>
              </w:rPr>
            </w:pPr>
            <w:r>
              <w:rPr>
                <w:rFonts w:ascii="Times New Roman" w:hAnsi="Times New Roman"/>
                <w:sz w:val="20"/>
                <w:szCs w:val="20"/>
              </w:rPr>
              <w:t>MOLDEIRAS AUTOCLAVÁVEL C/ 8 UND (SUPERIOR/INFERIOR)</w:t>
            </w:r>
          </w:p>
        </w:tc>
        <w:tc>
          <w:tcPr>
            <w:tcW w:w="108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0"/>
              <w:jc w:val="center"/>
              <w:rPr/>
            </w:pPr>
            <w:r>
              <w:rPr/>
              <w:t>UND</w:t>
            </w:r>
          </w:p>
        </w:tc>
        <w:tc>
          <w:tcPr>
            <w:tcW w:w="56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0"/>
              <w:jc w:val="center"/>
              <w:rPr/>
            </w:pPr>
            <w:r>
              <w:rPr/>
              <w:t>2</w:t>
            </w:r>
          </w:p>
        </w:tc>
        <w:tc>
          <w:tcPr>
            <w:tcW w:w="153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Standard"/>
              <w:spacing w:lineRule="auto" w:line="240" w:before="0" w:after="0"/>
              <w:jc w:val="center"/>
              <w:rPr>
                <w:rFonts w:ascii="Times New Roman" w:hAnsi="Times New Roman"/>
                <w:sz w:val="20"/>
                <w:szCs w:val="20"/>
              </w:rPr>
            </w:pPr>
            <w:r>
              <w:rPr>
                <w:rFonts w:ascii="Times New Roman" w:hAnsi="Times New Roman"/>
                <w:sz w:val="20"/>
                <w:szCs w:val="20"/>
              </w:rPr>
              <w:t>R$ 71,24</w:t>
            </w:r>
          </w:p>
        </w:tc>
        <w:tc>
          <w:tcPr>
            <w:tcW w:w="135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 w:type="dxa"/>
              <w:right w:w="10" w:type="dxa"/>
            </w:tcMar>
            <w:vAlign w:val="center"/>
          </w:tcPr>
          <w:p>
            <w:pPr>
              <w:pStyle w:val="Standard"/>
              <w:spacing w:lineRule="auto" w:line="240" w:before="0" w:after="0"/>
              <w:jc w:val="center"/>
              <w:rPr>
                <w:rFonts w:ascii="Times New Roman" w:hAnsi="Times New Roman"/>
                <w:sz w:val="20"/>
                <w:szCs w:val="20"/>
              </w:rPr>
            </w:pPr>
            <w:r>
              <w:rPr>
                <w:rFonts w:ascii="Times New Roman" w:hAnsi="Times New Roman"/>
                <w:sz w:val="20"/>
                <w:szCs w:val="20"/>
              </w:rPr>
              <w:t>R$ 142,48</w:t>
            </w:r>
          </w:p>
        </w:tc>
      </w:tr>
      <w:tr>
        <w:trPr/>
        <w:tc>
          <w:tcPr>
            <w:tcW w:w="67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Standard"/>
              <w:spacing w:lineRule="auto" w:line="240" w:before="0" w:after="0"/>
              <w:jc w:val="center"/>
              <w:rPr>
                <w:rFonts w:ascii="Times New Roman" w:hAnsi="Times New Roman"/>
                <w:b w:val="false"/>
                <w:b w:val="false"/>
                <w:bCs w:val="false"/>
                <w:sz w:val="20"/>
                <w:szCs w:val="20"/>
              </w:rPr>
            </w:pPr>
            <w:r>
              <w:rPr>
                <w:rFonts w:ascii="Times New Roman" w:hAnsi="Times New Roman"/>
                <w:b w:val="false"/>
                <w:bCs w:val="false"/>
                <w:sz w:val="20"/>
                <w:szCs w:val="20"/>
              </w:rPr>
              <w:t>23</w:t>
            </w:r>
          </w:p>
        </w:tc>
        <w:tc>
          <w:tcPr>
            <w:tcW w:w="49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160"/>
              <w:jc w:val="left"/>
              <w:rPr>
                <w:rFonts w:ascii="Times New Roman" w:hAnsi="Times New Roman"/>
                <w:sz w:val="20"/>
                <w:szCs w:val="20"/>
              </w:rPr>
            </w:pPr>
            <w:r>
              <w:rPr>
                <w:rFonts w:ascii="Times New Roman" w:hAnsi="Times New Roman"/>
                <w:sz w:val="20"/>
                <w:szCs w:val="20"/>
              </w:rPr>
              <w:t>GESSO PEDRA ESP TIPO 4, POTE 1 KG</w:t>
            </w:r>
          </w:p>
        </w:tc>
        <w:tc>
          <w:tcPr>
            <w:tcW w:w="108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0"/>
              <w:jc w:val="center"/>
              <w:rPr/>
            </w:pPr>
            <w:r>
              <w:rPr/>
              <w:t>UND</w:t>
            </w:r>
          </w:p>
        </w:tc>
        <w:tc>
          <w:tcPr>
            <w:tcW w:w="56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0"/>
              <w:jc w:val="center"/>
              <w:rPr/>
            </w:pPr>
            <w:r>
              <w:rPr/>
              <w:t>6</w:t>
            </w:r>
          </w:p>
        </w:tc>
        <w:tc>
          <w:tcPr>
            <w:tcW w:w="153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Standard"/>
              <w:spacing w:lineRule="auto" w:line="240" w:before="0" w:after="0"/>
              <w:jc w:val="center"/>
              <w:rPr>
                <w:rFonts w:ascii="Times New Roman" w:hAnsi="Times New Roman"/>
                <w:sz w:val="20"/>
                <w:szCs w:val="20"/>
              </w:rPr>
            </w:pPr>
            <w:r>
              <w:rPr>
                <w:rFonts w:ascii="Times New Roman" w:hAnsi="Times New Roman"/>
                <w:sz w:val="20"/>
                <w:szCs w:val="20"/>
              </w:rPr>
              <w:t>R$ 46,07</w:t>
            </w:r>
          </w:p>
        </w:tc>
        <w:tc>
          <w:tcPr>
            <w:tcW w:w="135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 w:type="dxa"/>
              <w:right w:w="10" w:type="dxa"/>
            </w:tcMar>
            <w:vAlign w:val="center"/>
          </w:tcPr>
          <w:p>
            <w:pPr>
              <w:pStyle w:val="Standard"/>
              <w:spacing w:lineRule="auto" w:line="240" w:before="0" w:after="0"/>
              <w:jc w:val="center"/>
              <w:rPr>
                <w:rFonts w:ascii="Times New Roman" w:hAnsi="Times New Roman"/>
                <w:sz w:val="20"/>
                <w:szCs w:val="20"/>
              </w:rPr>
            </w:pPr>
            <w:r>
              <w:rPr>
                <w:rFonts w:ascii="Times New Roman" w:hAnsi="Times New Roman"/>
                <w:sz w:val="20"/>
                <w:szCs w:val="20"/>
              </w:rPr>
              <w:t>R$ 276,42</w:t>
            </w:r>
          </w:p>
        </w:tc>
      </w:tr>
      <w:tr>
        <w:trPr/>
        <w:tc>
          <w:tcPr>
            <w:tcW w:w="67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Standard"/>
              <w:spacing w:lineRule="auto" w:line="240" w:before="0" w:after="0"/>
              <w:jc w:val="center"/>
              <w:rPr>
                <w:rFonts w:ascii="Times New Roman" w:hAnsi="Times New Roman"/>
                <w:b w:val="false"/>
                <w:b w:val="false"/>
                <w:bCs w:val="false"/>
                <w:sz w:val="20"/>
                <w:szCs w:val="20"/>
              </w:rPr>
            </w:pPr>
            <w:r>
              <w:rPr>
                <w:rFonts w:ascii="Times New Roman" w:hAnsi="Times New Roman"/>
                <w:b w:val="false"/>
                <w:bCs w:val="false"/>
                <w:sz w:val="20"/>
                <w:szCs w:val="20"/>
              </w:rPr>
              <w:t>24</w:t>
            </w:r>
          </w:p>
        </w:tc>
        <w:tc>
          <w:tcPr>
            <w:tcW w:w="49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160"/>
              <w:jc w:val="left"/>
              <w:rPr>
                <w:rFonts w:ascii="Times New Roman" w:hAnsi="Times New Roman"/>
                <w:sz w:val="20"/>
                <w:szCs w:val="20"/>
              </w:rPr>
            </w:pPr>
            <w:r>
              <w:rPr>
                <w:rFonts w:ascii="Times New Roman" w:hAnsi="Times New Roman"/>
                <w:sz w:val="20"/>
                <w:szCs w:val="20"/>
              </w:rPr>
              <w:t>RESINA NATURAL FLOW FOTO A3, 4G</w:t>
            </w:r>
          </w:p>
        </w:tc>
        <w:tc>
          <w:tcPr>
            <w:tcW w:w="108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0"/>
              <w:jc w:val="center"/>
              <w:rPr/>
            </w:pPr>
            <w:r>
              <w:rPr/>
              <w:t>UND</w:t>
            </w:r>
          </w:p>
        </w:tc>
        <w:tc>
          <w:tcPr>
            <w:tcW w:w="56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0"/>
              <w:jc w:val="center"/>
              <w:rPr/>
            </w:pPr>
            <w:r>
              <w:rPr/>
              <w:t>6</w:t>
            </w:r>
          </w:p>
        </w:tc>
        <w:tc>
          <w:tcPr>
            <w:tcW w:w="153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Standard"/>
              <w:spacing w:lineRule="auto" w:line="240" w:before="0" w:after="0"/>
              <w:jc w:val="center"/>
              <w:rPr>
                <w:rFonts w:ascii="Times New Roman" w:hAnsi="Times New Roman"/>
                <w:sz w:val="20"/>
                <w:szCs w:val="20"/>
              </w:rPr>
            </w:pPr>
            <w:r>
              <w:rPr>
                <w:rFonts w:ascii="Times New Roman" w:hAnsi="Times New Roman"/>
                <w:sz w:val="20"/>
                <w:szCs w:val="20"/>
              </w:rPr>
              <w:t>R$ 60,20</w:t>
            </w:r>
          </w:p>
        </w:tc>
        <w:tc>
          <w:tcPr>
            <w:tcW w:w="135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 w:type="dxa"/>
              <w:right w:w="10" w:type="dxa"/>
            </w:tcMar>
            <w:vAlign w:val="center"/>
          </w:tcPr>
          <w:p>
            <w:pPr>
              <w:pStyle w:val="Standard"/>
              <w:spacing w:lineRule="auto" w:line="240" w:before="0" w:after="0"/>
              <w:jc w:val="center"/>
              <w:rPr>
                <w:rFonts w:ascii="Times New Roman" w:hAnsi="Times New Roman"/>
                <w:sz w:val="20"/>
                <w:szCs w:val="20"/>
              </w:rPr>
            </w:pPr>
            <w:r>
              <w:rPr>
                <w:rFonts w:ascii="Times New Roman" w:hAnsi="Times New Roman"/>
                <w:sz w:val="20"/>
                <w:szCs w:val="20"/>
              </w:rPr>
              <w:t>R$ 361,20</w:t>
            </w:r>
          </w:p>
        </w:tc>
      </w:tr>
      <w:tr>
        <w:trPr/>
        <w:tc>
          <w:tcPr>
            <w:tcW w:w="67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Standard"/>
              <w:spacing w:lineRule="auto" w:line="240" w:before="0" w:after="0"/>
              <w:jc w:val="center"/>
              <w:rPr>
                <w:rFonts w:ascii="Times New Roman" w:hAnsi="Times New Roman"/>
                <w:b w:val="false"/>
                <w:b w:val="false"/>
                <w:bCs w:val="false"/>
                <w:sz w:val="20"/>
                <w:szCs w:val="20"/>
              </w:rPr>
            </w:pPr>
            <w:r>
              <w:rPr>
                <w:rFonts w:ascii="Times New Roman" w:hAnsi="Times New Roman"/>
                <w:b w:val="false"/>
                <w:bCs w:val="false"/>
                <w:sz w:val="20"/>
                <w:szCs w:val="20"/>
              </w:rPr>
              <w:t>25</w:t>
            </w:r>
          </w:p>
        </w:tc>
        <w:tc>
          <w:tcPr>
            <w:tcW w:w="49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160"/>
              <w:jc w:val="left"/>
              <w:rPr>
                <w:rFonts w:ascii="Times New Roman" w:hAnsi="Times New Roman"/>
                <w:sz w:val="20"/>
                <w:szCs w:val="20"/>
              </w:rPr>
            </w:pPr>
            <w:r>
              <w:rPr>
                <w:rFonts w:ascii="Times New Roman" w:hAnsi="Times New Roman"/>
                <w:sz w:val="20"/>
                <w:szCs w:val="20"/>
              </w:rPr>
              <w:t>DETERGENTE ENZIMÁTICO, 1 LT</w:t>
            </w:r>
          </w:p>
        </w:tc>
        <w:tc>
          <w:tcPr>
            <w:tcW w:w="108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0"/>
              <w:jc w:val="center"/>
              <w:rPr/>
            </w:pPr>
            <w:r>
              <w:rPr/>
              <w:t>UND</w:t>
            </w:r>
          </w:p>
        </w:tc>
        <w:tc>
          <w:tcPr>
            <w:tcW w:w="56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0"/>
              <w:jc w:val="center"/>
              <w:rPr/>
            </w:pPr>
            <w:r>
              <w:rPr/>
              <w:t>6</w:t>
            </w:r>
          </w:p>
        </w:tc>
        <w:tc>
          <w:tcPr>
            <w:tcW w:w="153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Standard"/>
              <w:spacing w:lineRule="auto" w:line="240" w:before="0" w:after="0"/>
              <w:jc w:val="center"/>
              <w:rPr>
                <w:rFonts w:ascii="Times New Roman" w:hAnsi="Times New Roman"/>
                <w:sz w:val="20"/>
                <w:szCs w:val="20"/>
              </w:rPr>
            </w:pPr>
            <w:r>
              <w:rPr>
                <w:rFonts w:ascii="Times New Roman" w:hAnsi="Times New Roman"/>
                <w:sz w:val="20"/>
                <w:szCs w:val="20"/>
              </w:rPr>
              <w:t>R$ 42,61</w:t>
            </w:r>
          </w:p>
        </w:tc>
        <w:tc>
          <w:tcPr>
            <w:tcW w:w="135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 w:type="dxa"/>
              <w:right w:w="10" w:type="dxa"/>
            </w:tcMar>
            <w:vAlign w:val="center"/>
          </w:tcPr>
          <w:p>
            <w:pPr>
              <w:pStyle w:val="Standard"/>
              <w:spacing w:lineRule="auto" w:line="240" w:before="0" w:after="0"/>
              <w:jc w:val="center"/>
              <w:rPr>
                <w:rFonts w:ascii="Times New Roman" w:hAnsi="Times New Roman"/>
                <w:sz w:val="20"/>
                <w:szCs w:val="20"/>
              </w:rPr>
            </w:pPr>
            <w:r>
              <w:rPr>
                <w:rFonts w:ascii="Times New Roman" w:hAnsi="Times New Roman"/>
                <w:sz w:val="20"/>
                <w:szCs w:val="20"/>
              </w:rPr>
              <w:t>R$ 255,66</w:t>
            </w:r>
          </w:p>
        </w:tc>
      </w:tr>
      <w:tr>
        <w:trPr/>
        <w:tc>
          <w:tcPr>
            <w:tcW w:w="67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Standard"/>
              <w:spacing w:lineRule="auto" w:line="240" w:before="0" w:after="0"/>
              <w:jc w:val="center"/>
              <w:rPr>
                <w:rFonts w:ascii="Times New Roman" w:hAnsi="Times New Roman"/>
                <w:b w:val="false"/>
                <w:b w:val="false"/>
                <w:bCs w:val="false"/>
                <w:sz w:val="20"/>
                <w:szCs w:val="20"/>
              </w:rPr>
            </w:pPr>
            <w:r>
              <w:rPr>
                <w:rFonts w:ascii="Times New Roman" w:hAnsi="Times New Roman"/>
                <w:b w:val="false"/>
                <w:bCs w:val="false"/>
                <w:sz w:val="20"/>
                <w:szCs w:val="20"/>
              </w:rPr>
              <w:t>26</w:t>
            </w:r>
          </w:p>
        </w:tc>
        <w:tc>
          <w:tcPr>
            <w:tcW w:w="49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160"/>
              <w:jc w:val="left"/>
              <w:rPr>
                <w:rFonts w:ascii="Times New Roman" w:hAnsi="Times New Roman"/>
                <w:sz w:val="20"/>
                <w:szCs w:val="20"/>
              </w:rPr>
            </w:pPr>
            <w:r>
              <w:rPr>
                <w:rFonts w:ascii="Times New Roman" w:hAnsi="Times New Roman"/>
                <w:sz w:val="20"/>
                <w:szCs w:val="20"/>
              </w:rPr>
              <w:t>POSICIONADOR CONE RADIOLÓGICO ,ADULTO,AUTOCLAVÁVEL</w:t>
            </w:r>
          </w:p>
        </w:tc>
        <w:tc>
          <w:tcPr>
            <w:tcW w:w="108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0"/>
              <w:jc w:val="center"/>
              <w:rPr/>
            </w:pPr>
            <w:r>
              <w:rPr/>
              <w:t>UND</w:t>
            </w:r>
          </w:p>
        </w:tc>
        <w:tc>
          <w:tcPr>
            <w:tcW w:w="56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0"/>
              <w:jc w:val="center"/>
              <w:rPr/>
            </w:pPr>
            <w:r>
              <w:rPr/>
              <w:t>3</w:t>
            </w:r>
          </w:p>
        </w:tc>
        <w:tc>
          <w:tcPr>
            <w:tcW w:w="153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Standard"/>
              <w:spacing w:lineRule="auto" w:line="240" w:before="0" w:after="0"/>
              <w:jc w:val="center"/>
              <w:rPr>
                <w:rFonts w:ascii="Times New Roman" w:hAnsi="Times New Roman"/>
                <w:sz w:val="20"/>
                <w:szCs w:val="20"/>
              </w:rPr>
            </w:pPr>
            <w:r>
              <w:rPr>
                <w:rFonts w:ascii="Times New Roman" w:hAnsi="Times New Roman"/>
                <w:sz w:val="20"/>
                <w:szCs w:val="20"/>
              </w:rPr>
              <w:t>R$ 204,65</w:t>
            </w:r>
          </w:p>
        </w:tc>
        <w:tc>
          <w:tcPr>
            <w:tcW w:w="135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 w:type="dxa"/>
              <w:right w:w="10" w:type="dxa"/>
            </w:tcMar>
            <w:vAlign w:val="center"/>
          </w:tcPr>
          <w:p>
            <w:pPr>
              <w:pStyle w:val="Standard"/>
              <w:spacing w:lineRule="auto" w:line="240" w:before="0" w:after="0"/>
              <w:jc w:val="center"/>
              <w:rPr>
                <w:rFonts w:ascii="Times New Roman" w:hAnsi="Times New Roman"/>
                <w:sz w:val="20"/>
                <w:szCs w:val="20"/>
              </w:rPr>
            </w:pPr>
            <w:r>
              <w:rPr>
                <w:rFonts w:ascii="Times New Roman" w:hAnsi="Times New Roman"/>
                <w:sz w:val="20"/>
                <w:szCs w:val="20"/>
              </w:rPr>
              <w:t>R$ 613,95</w:t>
            </w:r>
          </w:p>
        </w:tc>
      </w:tr>
      <w:tr>
        <w:trPr/>
        <w:tc>
          <w:tcPr>
            <w:tcW w:w="67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Standard"/>
              <w:spacing w:lineRule="auto" w:line="240" w:before="0" w:after="0"/>
              <w:jc w:val="center"/>
              <w:rPr>
                <w:rFonts w:ascii="Times New Roman" w:hAnsi="Times New Roman"/>
                <w:b w:val="false"/>
                <w:b w:val="false"/>
                <w:bCs w:val="false"/>
                <w:sz w:val="20"/>
                <w:szCs w:val="20"/>
              </w:rPr>
            </w:pPr>
            <w:r>
              <w:rPr>
                <w:rFonts w:ascii="Times New Roman" w:hAnsi="Times New Roman"/>
                <w:b w:val="false"/>
                <w:bCs w:val="false"/>
                <w:sz w:val="20"/>
                <w:szCs w:val="20"/>
              </w:rPr>
              <w:t>27</w:t>
            </w:r>
          </w:p>
        </w:tc>
        <w:tc>
          <w:tcPr>
            <w:tcW w:w="49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160"/>
              <w:jc w:val="left"/>
              <w:rPr>
                <w:rFonts w:ascii="Times New Roman" w:hAnsi="Times New Roman"/>
                <w:sz w:val="20"/>
                <w:szCs w:val="20"/>
              </w:rPr>
            </w:pPr>
            <w:r>
              <w:rPr>
                <w:rFonts w:ascii="Times New Roman" w:hAnsi="Times New Roman"/>
                <w:sz w:val="20"/>
                <w:szCs w:val="20"/>
              </w:rPr>
              <w:t>FILME PERIAPICAL, ADULTO,CX150</w:t>
            </w:r>
          </w:p>
        </w:tc>
        <w:tc>
          <w:tcPr>
            <w:tcW w:w="108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0"/>
              <w:jc w:val="center"/>
              <w:rPr/>
            </w:pPr>
            <w:r>
              <w:rPr/>
              <w:t>UND</w:t>
            </w:r>
          </w:p>
        </w:tc>
        <w:tc>
          <w:tcPr>
            <w:tcW w:w="56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0"/>
              <w:jc w:val="center"/>
              <w:rPr/>
            </w:pPr>
            <w:r>
              <w:rPr/>
              <w:t>4</w:t>
            </w:r>
          </w:p>
        </w:tc>
        <w:tc>
          <w:tcPr>
            <w:tcW w:w="153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Standard"/>
              <w:spacing w:lineRule="auto" w:line="240" w:before="0" w:after="0"/>
              <w:jc w:val="center"/>
              <w:rPr>
                <w:rFonts w:ascii="Times New Roman" w:hAnsi="Times New Roman"/>
                <w:sz w:val="20"/>
                <w:szCs w:val="20"/>
              </w:rPr>
            </w:pPr>
            <w:r>
              <w:rPr>
                <w:rFonts w:ascii="Times New Roman" w:hAnsi="Times New Roman"/>
                <w:sz w:val="20"/>
                <w:szCs w:val="20"/>
              </w:rPr>
              <w:t>R$ 151,90</w:t>
            </w:r>
          </w:p>
        </w:tc>
        <w:tc>
          <w:tcPr>
            <w:tcW w:w="135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 w:type="dxa"/>
              <w:right w:w="10" w:type="dxa"/>
            </w:tcMar>
            <w:vAlign w:val="center"/>
          </w:tcPr>
          <w:p>
            <w:pPr>
              <w:pStyle w:val="Standard"/>
              <w:spacing w:lineRule="auto" w:line="240" w:before="0" w:after="0"/>
              <w:jc w:val="center"/>
              <w:rPr>
                <w:rFonts w:ascii="Times New Roman" w:hAnsi="Times New Roman"/>
                <w:sz w:val="20"/>
                <w:szCs w:val="20"/>
              </w:rPr>
            </w:pPr>
            <w:r>
              <w:rPr>
                <w:rFonts w:ascii="Times New Roman" w:hAnsi="Times New Roman"/>
                <w:sz w:val="20"/>
                <w:szCs w:val="20"/>
              </w:rPr>
              <w:t>R$ 607,60</w:t>
            </w:r>
          </w:p>
        </w:tc>
      </w:tr>
      <w:tr>
        <w:trPr/>
        <w:tc>
          <w:tcPr>
            <w:tcW w:w="67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Standard"/>
              <w:spacing w:lineRule="auto" w:line="240" w:before="0" w:after="0"/>
              <w:jc w:val="center"/>
              <w:rPr>
                <w:rFonts w:ascii="Times New Roman" w:hAnsi="Times New Roman"/>
                <w:b w:val="false"/>
                <w:b w:val="false"/>
                <w:bCs w:val="false"/>
                <w:sz w:val="20"/>
                <w:szCs w:val="20"/>
              </w:rPr>
            </w:pPr>
            <w:r>
              <w:rPr>
                <w:rFonts w:ascii="Times New Roman" w:hAnsi="Times New Roman"/>
                <w:b w:val="false"/>
                <w:bCs w:val="false"/>
                <w:sz w:val="20"/>
                <w:szCs w:val="20"/>
              </w:rPr>
              <w:t>28</w:t>
            </w:r>
          </w:p>
        </w:tc>
        <w:tc>
          <w:tcPr>
            <w:tcW w:w="49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160"/>
              <w:jc w:val="left"/>
              <w:rPr>
                <w:rFonts w:ascii="Times New Roman" w:hAnsi="Times New Roman"/>
                <w:sz w:val="20"/>
                <w:szCs w:val="20"/>
              </w:rPr>
            </w:pPr>
            <w:r>
              <w:rPr>
                <w:rFonts w:ascii="Times New Roman" w:hAnsi="Times New Roman"/>
                <w:sz w:val="20"/>
                <w:szCs w:val="20"/>
              </w:rPr>
              <w:t>CIMENTO DE IONÔMERO  VIDRO, FORRAÇÃO, AUTO POLIMERIZÁVEL</w:t>
            </w:r>
          </w:p>
        </w:tc>
        <w:tc>
          <w:tcPr>
            <w:tcW w:w="108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0"/>
              <w:jc w:val="center"/>
              <w:rPr/>
            </w:pPr>
            <w:r>
              <w:rPr/>
              <w:t>UND</w:t>
            </w:r>
          </w:p>
        </w:tc>
        <w:tc>
          <w:tcPr>
            <w:tcW w:w="56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0"/>
              <w:jc w:val="center"/>
              <w:rPr/>
            </w:pPr>
            <w:r>
              <w:rPr/>
              <w:t>6</w:t>
            </w:r>
          </w:p>
        </w:tc>
        <w:tc>
          <w:tcPr>
            <w:tcW w:w="153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Standard"/>
              <w:spacing w:lineRule="auto" w:line="240" w:before="0" w:after="0"/>
              <w:jc w:val="center"/>
              <w:rPr>
                <w:rFonts w:ascii="Times New Roman" w:hAnsi="Times New Roman"/>
                <w:sz w:val="20"/>
                <w:szCs w:val="20"/>
              </w:rPr>
            </w:pPr>
            <w:r>
              <w:rPr>
                <w:rFonts w:ascii="Times New Roman" w:hAnsi="Times New Roman"/>
                <w:sz w:val="20"/>
                <w:szCs w:val="20"/>
              </w:rPr>
              <w:t>R$ 98,43</w:t>
            </w:r>
          </w:p>
        </w:tc>
        <w:tc>
          <w:tcPr>
            <w:tcW w:w="135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 w:type="dxa"/>
              <w:right w:w="10" w:type="dxa"/>
            </w:tcMar>
            <w:vAlign w:val="center"/>
          </w:tcPr>
          <w:p>
            <w:pPr>
              <w:pStyle w:val="Standard"/>
              <w:spacing w:lineRule="auto" w:line="240" w:before="0" w:after="0"/>
              <w:jc w:val="center"/>
              <w:rPr>
                <w:rFonts w:ascii="Times New Roman" w:hAnsi="Times New Roman"/>
                <w:sz w:val="20"/>
                <w:szCs w:val="20"/>
              </w:rPr>
            </w:pPr>
            <w:r>
              <w:rPr>
                <w:rFonts w:ascii="Times New Roman" w:hAnsi="Times New Roman"/>
                <w:sz w:val="20"/>
                <w:szCs w:val="20"/>
              </w:rPr>
              <w:t>R$ 590,58</w:t>
            </w:r>
          </w:p>
        </w:tc>
      </w:tr>
      <w:tr>
        <w:trPr/>
        <w:tc>
          <w:tcPr>
            <w:tcW w:w="67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Standard"/>
              <w:spacing w:lineRule="auto" w:line="240" w:before="0" w:after="0"/>
              <w:jc w:val="center"/>
              <w:rPr>
                <w:rFonts w:ascii="Times New Roman" w:hAnsi="Times New Roman"/>
                <w:b w:val="false"/>
                <w:b w:val="false"/>
                <w:bCs w:val="false"/>
                <w:sz w:val="20"/>
                <w:szCs w:val="20"/>
              </w:rPr>
            </w:pPr>
            <w:r>
              <w:rPr>
                <w:rFonts w:ascii="Times New Roman" w:hAnsi="Times New Roman"/>
                <w:b w:val="false"/>
                <w:bCs w:val="false"/>
                <w:sz w:val="20"/>
                <w:szCs w:val="20"/>
              </w:rPr>
              <w:t>29</w:t>
            </w:r>
          </w:p>
        </w:tc>
        <w:tc>
          <w:tcPr>
            <w:tcW w:w="49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160"/>
              <w:jc w:val="left"/>
              <w:rPr>
                <w:rFonts w:ascii="Times New Roman" w:hAnsi="Times New Roman"/>
                <w:sz w:val="20"/>
                <w:szCs w:val="20"/>
              </w:rPr>
            </w:pPr>
            <w:r>
              <w:rPr>
                <w:rFonts w:ascii="Times New Roman" w:hAnsi="Times New Roman"/>
                <w:sz w:val="20"/>
                <w:szCs w:val="20"/>
              </w:rPr>
              <w:t>LIMA HEDSTROEM.1ª SERIE, 21MM, CX 6</w:t>
            </w:r>
          </w:p>
        </w:tc>
        <w:tc>
          <w:tcPr>
            <w:tcW w:w="108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0"/>
              <w:jc w:val="center"/>
              <w:rPr/>
            </w:pPr>
            <w:r>
              <w:rPr/>
              <w:t>UND</w:t>
            </w:r>
          </w:p>
        </w:tc>
        <w:tc>
          <w:tcPr>
            <w:tcW w:w="56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0"/>
              <w:jc w:val="center"/>
              <w:rPr/>
            </w:pPr>
            <w:r>
              <w:rPr/>
              <w:t>6</w:t>
            </w:r>
          </w:p>
        </w:tc>
        <w:tc>
          <w:tcPr>
            <w:tcW w:w="153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Standard"/>
              <w:spacing w:lineRule="auto" w:line="240" w:before="0" w:after="0"/>
              <w:jc w:val="center"/>
              <w:rPr>
                <w:rFonts w:ascii="Times New Roman" w:hAnsi="Times New Roman"/>
                <w:sz w:val="20"/>
                <w:szCs w:val="20"/>
              </w:rPr>
            </w:pPr>
            <w:r>
              <w:rPr>
                <w:rFonts w:ascii="Times New Roman" w:hAnsi="Times New Roman"/>
                <w:sz w:val="20"/>
                <w:szCs w:val="20"/>
              </w:rPr>
              <w:t>R$ 24,47</w:t>
            </w:r>
          </w:p>
        </w:tc>
        <w:tc>
          <w:tcPr>
            <w:tcW w:w="135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 w:type="dxa"/>
              <w:right w:w="10" w:type="dxa"/>
            </w:tcMar>
            <w:vAlign w:val="center"/>
          </w:tcPr>
          <w:p>
            <w:pPr>
              <w:pStyle w:val="Standard"/>
              <w:spacing w:lineRule="auto" w:line="240" w:before="0" w:after="0"/>
              <w:jc w:val="center"/>
              <w:rPr>
                <w:rFonts w:ascii="Times New Roman" w:hAnsi="Times New Roman"/>
                <w:sz w:val="20"/>
                <w:szCs w:val="20"/>
              </w:rPr>
            </w:pPr>
            <w:r>
              <w:rPr>
                <w:rFonts w:ascii="Times New Roman" w:hAnsi="Times New Roman"/>
                <w:sz w:val="20"/>
                <w:szCs w:val="20"/>
              </w:rPr>
              <w:t>R$ 146,82</w:t>
            </w:r>
          </w:p>
        </w:tc>
      </w:tr>
      <w:tr>
        <w:trPr/>
        <w:tc>
          <w:tcPr>
            <w:tcW w:w="67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Standard"/>
              <w:spacing w:lineRule="auto" w:line="240" w:before="0" w:after="0"/>
              <w:jc w:val="center"/>
              <w:rPr>
                <w:rFonts w:ascii="Times New Roman" w:hAnsi="Times New Roman"/>
                <w:b w:val="false"/>
                <w:b w:val="false"/>
                <w:bCs w:val="false"/>
                <w:sz w:val="20"/>
                <w:szCs w:val="20"/>
              </w:rPr>
            </w:pPr>
            <w:r>
              <w:rPr>
                <w:rFonts w:ascii="Times New Roman" w:hAnsi="Times New Roman"/>
                <w:b w:val="false"/>
                <w:bCs w:val="false"/>
                <w:sz w:val="20"/>
                <w:szCs w:val="20"/>
              </w:rPr>
              <w:t>30</w:t>
            </w:r>
          </w:p>
        </w:tc>
        <w:tc>
          <w:tcPr>
            <w:tcW w:w="49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160"/>
              <w:jc w:val="left"/>
              <w:rPr>
                <w:rFonts w:ascii="Times New Roman" w:hAnsi="Times New Roman"/>
                <w:sz w:val="20"/>
                <w:szCs w:val="20"/>
              </w:rPr>
            </w:pPr>
            <w:r>
              <w:rPr>
                <w:rFonts w:ascii="Times New Roman" w:hAnsi="Times New Roman"/>
                <w:sz w:val="20"/>
                <w:szCs w:val="20"/>
              </w:rPr>
              <w:t xml:space="preserve">MASCARA DESCARTÁVEL TRIPLA BRANCA CX C 50 UND </w:t>
            </w:r>
          </w:p>
        </w:tc>
        <w:tc>
          <w:tcPr>
            <w:tcW w:w="108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0"/>
              <w:jc w:val="center"/>
              <w:rPr/>
            </w:pPr>
            <w:r>
              <w:rPr/>
              <w:t>CX</w:t>
            </w:r>
          </w:p>
        </w:tc>
        <w:tc>
          <w:tcPr>
            <w:tcW w:w="56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lineRule="auto" w:line="276" w:before="0" w:after="0"/>
              <w:jc w:val="center"/>
              <w:rPr/>
            </w:pPr>
            <w:r>
              <w:rPr/>
              <w:t>8</w:t>
            </w:r>
          </w:p>
        </w:tc>
        <w:tc>
          <w:tcPr>
            <w:tcW w:w="153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Standard"/>
              <w:spacing w:lineRule="auto" w:line="240" w:before="0" w:after="0"/>
              <w:jc w:val="center"/>
              <w:rPr>
                <w:rFonts w:ascii="Times New Roman" w:hAnsi="Times New Roman"/>
                <w:sz w:val="20"/>
                <w:szCs w:val="20"/>
              </w:rPr>
            </w:pPr>
            <w:r>
              <w:rPr>
                <w:rFonts w:ascii="Times New Roman" w:hAnsi="Times New Roman"/>
                <w:sz w:val="20"/>
                <w:szCs w:val="20"/>
              </w:rPr>
              <w:t>R$ 25,96</w:t>
            </w:r>
          </w:p>
        </w:tc>
        <w:tc>
          <w:tcPr>
            <w:tcW w:w="135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5" w:type="dxa"/>
              <w:right w:w="10" w:type="dxa"/>
            </w:tcMar>
            <w:vAlign w:val="center"/>
          </w:tcPr>
          <w:p>
            <w:pPr>
              <w:pStyle w:val="Standard"/>
              <w:spacing w:lineRule="auto" w:line="240" w:before="0" w:after="0"/>
              <w:jc w:val="center"/>
              <w:rPr>
                <w:rFonts w:ascii="Times New Roman" w:hAnsi="Times New Roman"/>
                <w:sz w:val="20"/>
                <w:szCs w:val="20"/>
              </w:rPr>
            </w:pPr>
            <w:r>
              <w:rPr>
                <w:rFonts w:ascii="Times New Roman" w:hAnsi="Times New Roman"/>
                <w:sz w:val="20"/>
                <w:szCs w:val="20"/>
              </w:rPr>
              <w:t>R$ 207,68</w:t>
            </w:r>
          </w:p>
        </w:tc>
      </w:tr>
    </w:tbl>
    <w:p>
      <w:pPr>
        <w:pStyle w:val="PADRO"/>
        <w:keepNext w:val="false"/>
        <w:widowControl/>
        <w:numPr>
          <w:ilvl w:val="1"/>
          <w:numId w:val="1"/>
        </w:numPr>
        <w:shd w:val="clear" w:fill="FFFFFF"/>
        <w:spacing w:before="120" w:after="120"/>
        <w:rPr/>
      </w:pPr>
      <w:r>
        <w:rPr>
          <w:rFonts w:cs="Arial" w:ascii="Arial" w:hAnsi="Arial"/>
          <w:szCs w:val="20"/>
        </w:rPr>
        <w:t xml:space="preserve">O critério de julgamento adotado será o </w:t>
      </w:r>
      <w:r>
        <w:rPr>
          <w:rFonts w:cs="Arial" w:ascii="Arial" w:hAnsi="Arial"/>
          <w:iCs/>
          <w:color w:val="000000"/>
          <w:szCs w:val="20"/>
        </w:rPr>
        <w:t xml:space="preserve">menor preço, </w:t>
      </w:r>
      <w:r>
        <w:rPr>
          <w:rFonts w:cs="Arial" w:ascii="Arial" w:hAnsi="Arial"/>
          <w:szCs w:val="20"/>
        </w:rPr>
        <w:t>observadas as exigências contidas neste Aviso de Contratação Direta e seus Anexos quanto às especificações do objeto.</w:t>
      </w:r>
    </w:p>
    <w:p>
      <w:pPr>
        <w:pStyle w:val="PADRO"/>
        <w:keepNext w:val="false"/>
        <w:widowControl/>
        <w:numPr>
          <w:ilvl w:val="0"/>
          <w:numId w:val="1"/>
        </w:numPr>
        <w:shd w:val="clear" w:fill="FFFFFF"/>
        <w:spacing w:before="120" w:after="120"/>
        <w:rPr>
          <w:rFonts w:ascii="Arial" w:hAnsi="Arial" w:cs="Arial"/>
          <w:b/>
          <w:b/>
        </w:rPr>
      </w:pPr>
      <w:r>
        <w:rPr>
          <w:rFonts w:cs="Arial" w:ascii="Arial" w:hAnsi="Arial"/>
          <w:b/>
        </w:rPr>
        <w:t>PARTICIPAÇÃO NA DISPENSA ELETRÔNICA.</w:t>
      </w:r>
    </w:p>
    <w:p>
      <w:pPr>
        <w:pStyle w:val="Normal"/>
        <w:snapToGrid w:val="false"/>
        <w:spacing w:lineRule="auto" w:line="276" w:before="120" w:after="120"/>
        <w:ind w:left="425" w:right="0" w:hanging="0"/>
        <w:jc w:val="both"/>
        <w:rPr/>
      </w:pPr>
      <w:r>
        <w:rPr>
          <w:rFonts w:cs="Arial"/>
          <w:szCs w:val="20"/>
        </w:rPr>
        <w:t xml:space="preserve">2.1. A participação na presente dispensa eletrônica se dará mediante </w:t>
      </w:r>
      <w:r>
        <w:rPr>
          <w:rFonts w:cs="Arial"/>
          <w:bCs/>
          <w:szCs w:val="20"/>
        </w:rPr>
        <w:t xml:space="preserve">Sistema de Dispensa Eletrônica </w:t>
      </w:r>
      <w:r>
        <w:rPr>
          <w:rFonts w:cs="Arial"/>
          <w:szCs w:val="20"/>
        </w:rPr>
        <w:t xml:space="preserve">integrante do Sistema de Compras do Governo Federal – Comprasnet 4.0, disponível no </w:t>
      </w:r>
      <w:r>
        <w:rPr>
          <w:rFonts w:cs="Arial"/>
          <w:bCs/>
          <w:szCs w:val="20"/>
        </w:rPr>
        <w:t xml:space="preserve">endereço eletrônico do </w:t>
      </w:r>
      <w:r>
        <w:rPr/>
        <w:t>Portal Nacional de Contratações Públicas – PNCP.</w:t>
      </w:r>
    </w:p>
    <w:p>
      <w:pPr>
        <w:pStyle w:val="Normal"/>
        <w:numPr>
          <w:ilvl w:val="2"/>
          <w:numId w:val="1"/>
        </w:numPr>
        <w:snapToGrid w:val="false"/>
        <w:spacing w:lineRule="auto" w:line="276" w:before="120" w:after="120"/>
        <w:jc w:val="both"/>
        <w:rPr>
          <w:rFonts w:cs="Arial"/>
          <w:szCs w:val="20"/>
        </w:rPr>
      </w:pPr>
      <w:r>
        <w:rPr>
          <w:rFonts w:cs="Arial"/>
          <w:szCs w:val="20"/>
        </w:rPr>
        <w:t>Os fornecedores deverão atender aos procedimentos previstos no Manual do Sistema de Dispensa Eletrônica, disponível no Portal de Compras do Governo Federal, para acesso ao sistema e operacionalização.</w:t>
      </w:r>
    </w:p>
    <w:p>
      <w:pPr>
        <w:pStyle w:val="Normal"/>
        <w:numPr>
          <w:ilvl w:val="2"/>
          <w:numId w:val="1"/>
        </w:numPr>
        <w:snapToGrid w:val="false"/>
        <w:spacing w:lineRule="auto" w:line="276" w:before="120" w:after="120"/>
        <w:jc w:val="both"/>
        <w:rPr>
          <w:rFonts w:cs="Arial"/>
          <w:szCs w:val="20"/>
        </w:rPr>
      </w:pPr>
      <w:r>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1"/>
        </w:numPr>
        <w:spacing w:lineRule="auto" w:line="276" w:before="120" w:after="120"/>
        <w:ind w:left="425" w:right="0" w:hanging="0"/>
        <w:jc w:val="both"/>
        <w:rPr>
          <w:rFonts w:cs="Arial"/>
          <w:color w:val="000000"/>
          <w:szCs w:val="20"/>
        </w:rPr>
      </w:pPr>
      <w:r>
        <w:rPr>
          <w:rFonts w:cs="Arial"/>
          <w:color w:val="000000"/>
          <w:szCs w:val="20"/>
        </w:rPr>
        <w:t>Não poderão participar desta dispensa os fornecedores:</w:t>
      </w:r>
    </w:p>
    <w:p>
      <w:pPr>
        <w:pStyle w:val="Normal"/>
        <w:numPr>
          <w:ilvl w:val="2"/>
          <w:numId w:val="1"/>
        </w:numPr>
        <w:spacing w:lineRule="auto" w:line="276" w:before="120" w:after="120"/>
        <w:jc w:val="both"/>
        <w:rPr>
          <w:rFonts w:cs="Arial"/>
          <w:color w:val="000000"/>
          <w:szCs w:val="20"/>
        </w:rPr>
      </w:pPr>
      <w:r>
        <w:rPr>
          <w:rFonts w:cs="Arial"/>
          <w:color w:val="000000"/>
          <w:szCs w:val="20"/>
        </w:rPr>
        <w:t xml:space="preserve"> </w:t>
      </w:r>
      <w:r>
        <w:rPr>
          <w:rFonts w:cs="Arial"/>
          <w:color w:val="000000"/>
          <w:szCs w:val="20"/>
        </w:rPr>
        <w:t>que não atendam às condições deste Aviso de Contratação Direta e seu(s) anexo(s);</w:t>
      </w:r>
    </w:p>
    <w:p>
      <w:pPr>
        <w:pStyle w:val="Normal"/>
        <w:numPr>
          <w:ilvl w:val="2"/>
          <w:numId w:val="1"/>
        </w:numPr>
        <w:spacing w:lineRule="auto" w:line="276" w:before="120" w:after="120"/>
        <w:jc w:val="both"/>
        <w:rPr>
          <w:rFonts w:cs="Arial"/>
          <w:color w:val="000000"/>
          <w:szCs w:val="20"/>
        </w:rPr>
      </w:pPr>
      <w:r>
        <w:rPr>
          <w:rFonts w:cs="Arial"/>
          <w:color w:val="000000"/>
          <w:szCs w:val="20"/>
        </w:rPr>
        <w:t xml:space="preserve"> </w:t>
      </w:r>
      <w:r>
        <w:rPr>
          <w:rFonts w:cs="Arial"/>
          <w:color w:val="000000"/>
          <w:szCs w:val="20"/>
        </w:rPr>
        <w:t>estrangeiros que não tenham representação legal no Brasil com poderes expressos para receber citação e responder administrativa ou judicialmente;</w:t>
      </w:r>
    </w:p>
    <w:p>
      <w:pPr>
        <w:pStyle w:val="Normal"/>
        <w:numPr>
          <w:ilvl w:val="2"/>
          <w:numId w:val="1"/>
        </w:numPr>
        <w:spacing w:lineRule="auto" w:line="276" w:before="120" w:after="120"/>
        <w:jc w:val="both"/>
        <w:rPr>
          <w:rFonts w:cs="Arial"/>
          <w:color w:val="000000"/>
          <w:szCs w:val="20"/>
        </w:rPr>
      </w:pPr>
      <w:r>
        <w:rPr>
          <w:rFonts w:cs="Arial"/>
          <w:color w:val="000000"/>
          <w:szCs w:val="20"/>
        </w:rPr>
        <w:t xml:space="preserve"> </w:t>
      </w:r>
      <w:r>
        <w:rPr>
          <w:rFonts w:cs="Arial"/>
          <w:color w:val="000000"/>
          <w:szCs w:val="20"/>
        </w:rPr>
        <w:t>que se enquadrem nas seguintes vedações:</w:t>
      </w:r>
    </w:p>
    <w:p>
      <w:pPr>
        <w:pStyle w:val="Normal"/>
        <w:numPr>
          <w:ilvl w:val="3"/>
          <w:numId w:val="4"/>
        </w:numPr>
        <w:spacing w:lineRule="auto" w:line="276" w:before="120" w:after="120"/>
        <w:jc w:val="both"/>
        <w:rPr>
          <w:rFonts w:cs="Arial"/>
          <w:color w:val="000000"/>
          <w:szCs w:val="20"/>
        </w:rPr>
      </w:pPr>
      <w:r>
        <w:rPr>
          <w:rFonts w:cs="Arial"/>
          <w:color w:val="000000"/>
          <w:szCs w:val="20"/>
        </w:rPr>
        <w:t>autor do anteprojeto, do projeto básico ou do projeto executivo, pessoa física ou jurídica, quando a contratação versar sobre obra, serviços ou fornecimento de bens a ele relacionados;</w:t>
      </w:r>
    </w:p>
    <w:p>
      <w:pPr>
        <w:pStyle w:val="Normal"/>
        <w:numPr>
          <w:ilvl w:val="3"/>
          <w:numId w:val="4"/>
        </w:numPr>
        <w:spacing w:lineRule="auto" w:line="276" w:before="120" w:after="120"/>
        <w:jc w:val="both"/>
        <w:rPr/>
      </w:pPr>
      <w:r>
        <w:rPr>
          <w:rFonts w:cs="Arial"/>
          <w:color w:val="00000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4"/>
        </w:numPr>
        <w:spacing w:lineRule="auto" w:line="276" w:before="120" w:after="120"/>
        <w:jc w:val="both"/>
        <w:rPr>
          <w:rFonts w:cs="Arial"/>
          <w:color w:val="000000"/>
          <w:szCs w:val="20"/>
        </w:rPr>
      </w:pPr>
      <w:r>
        <w:rPr>
          <w:rFonts w:cs="Arial"/>
          <w:color w:val="000000"/>
          <w:szCs w:val="20"/>
        </w:rPr>
        <w:t>pessoa física ou jurídica que se encontre, ao tempo da contratação, impossibilitada de contratar em decorrência de sanção que lhe foi imposta;</w:t>
      </w:r>
    </w:p>
    <w:p>
      <w:pPr>
        <w:pStyle w:val="Normal"/>
        <w:numPr>
          <w:ilvl w:val="3"/>
          <w:numId w:val="4"/>
        </w:numPr>
        <w:spacing w:lineRule="auto" w:line="276" w:before="120" w:after="120"/>
        <w:jc w:val="both"/>
        <w:rPr>
          <w:rFonts w:cs="Arial"/>
          <w:color w:val="000000"/>
          <w:szCs w:val="20"/>
        </w:rPr>
      </w:pPr>
      <w:r>
        <w:rPr>
          <w:rFonts w:cs="Arial"/>
          <w:color w:val="00000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3"/>
          <w:numId w:val="4"/>
        </w:numPr>
        <w:spacing w:lineRule="auto" w:line="276" w:before="120" w:after="120"/>
        <w:jc w:val="both"/>
        <w:rPr/>
      </w:pPr>
      <w:r>
        <w:rPr>
          <w:rFonts w:cs="Arial"/>
          <w:color w:val="000000"/>
          <w:szCs w:val="20"/>
        </w:rPr>
        <w:t>empresas controladoras, controladas ou coligadas, nos termos da </w:t>
      </w:r>
      <w:hyperlink r:id="rId3">
        <w:r>
          <w:rPr>
            <w:rStyle w:val="LinkdaInternet"/>
            <w:rFonts w:eastAsia="Calibri" w:cs="Arial"/>
            <w:szCs w:val="20"/>
          </w:rPr>
          <w:t>Lei nº 6.404, de 15 de dezembro de 1976</w:t>
        </w:r>
      </w:hyperlink>
      <w:r>
        <w:rPr>
          <w:rFonts w:cs="Arial"/>
          <w:color w:val="000000"/>
          <w:szCs w:val="20"/>
        </w:rPr>
        <w:t>, concorrendo entre si;</w:t>
      </w:r>
    </w:p>
    <w:p>
      <w:pPr>
        <w:pStyle w:val="Normal"/>
        <w:numPr>
          <w:ilvl w:val="3"/>
          <w:numId w:val="4"/>
        </w:numPr>
        <w:spacing w:lineRule="auto" w:line="276" w:before="120" w:after="120"/>
        <w:jc w:val="both"/>
        <w:rPr/>
      </w:pPr>
      <w:r>
        <w:rPr>
          <w:rFonts w:cs="Arial"/>
          <w:color w:val="000000"/>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1"/>
        </w:numPr>
        <w:spacing w:lineRule="auto" w:line="276" w:before="120" w:after="120"/>
        <w:jc w:val="both"/>
        <w:rPr/>
      </w:pPr>
      <w:r>
        <w:rPr>
          <w:rFonts w:cs="Arial"/>
          <w:color w:val="000000"/>
          <w:szCs w:val="20"/>
        </w:rPr>
        <w:t>Equiparam-se aos autores do projeto as empresas integrantes do mesmo grupo econômico;</w:t>
      </w:r>
    </w:p>
    <w:p>
      <w:pPr>
        <w:pStyle w:val="Normal"/>
        <w:numPr>
          <w:ilvl w:val="3"/>
          <w:numId w:val="1"/>
        </w:numPr>
        <w:spacing w:lineRule="auto" w:line="276" w:before="120" w:after="120"/>
        <w:jc w:val="both"/>
        <w:rPr/>
      </w:pPr>
      <w:r>
        <w:rPr>
          <w:rFonts w:cs="Arial"/>
          <w:color w:val="000000"/>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1"/>
        </w:numPr>
        <w:spacing w:lineRule="auto" w:line="276" w:before="120" w:after="120"/>
        <w:jc w:val="both"/>
        <w:rPr>
          <w:rFonts w:cs="Arial"/>
          <w:color w:val="000000"/>
          <w:szCs w:val="20"/>
        </w:rPr>
      </w:pPr>
      <w:r>
        <w:rPr>
          <w:rFonts w:cs="Arial"/>
          <w:color w:val="000000"/>
          <w:szCs w:val="20"/>
        </w:rPr>
        <w:t xml:space="preserve"> </w:t>
      </w:r>
      <w:r>
        <w:rPr>
          <w:rFonts w:cs="Arial"/>
          <w:color w:val="000000"/>
          <w:szCs w:val="20"/>
        </w:rPr>
        <w:t>organizações da Sociedade Civil de Interesse Público - OSCIP, atuando nessa condição (Acórdão nº 746/2014-TCU - Plenário); e</w:t>
      </w:r>
    </w:p>
    <w:p>
      <w:pPr>
        <w:pStyle w:val="Normal"/>
        <w:numPr>
          <w:ilvl w:val="2"/>
          <w:numId w:val="1"/>
        </w:numPr>
        <w:spacing w:lineRule="auto" w:line="276" w:before="120" w:after="120"/>
        <w:jc w:val="both"/>
        <w:rPr/>
      </w:pPr>
      <w:r>
        <w:rPr>
          <w:rFonts w:cs="Arial"/>
          <w:color w:val="000000"/>
          <w:szCs w:val="20"/>
        </w:rPr>
        <w:t xml:space="preserve"> </w:t>
      </w:r>
      <w:r>
        <w:rPr>
          <w:rFonts w:cs="Arial"/>
          <w:color w:val="000000"/>
          <w:szCs w:val="20"/>
        </w:rPr>
        <w:t>sociedades cooperativas</w:t>
      </w:r>
      <w:r>
        <w:rPr>
          <w:rFonts w:cs="Arial"/>
          <w:i/>
          <w:color w:val="000000"/>
          <w:szCs w:val="20"/>
        </w:rPr>
        <w:t>.</w:t>
      </w:r>
      <w:bookmarkStart w:id="3" w:name="_Hlk519667815"/>
      <w:bookmarkEnd w:id="3"/>
    </w:p>
    <w:p>
      <w:pPr>
        <w:pStyle w:val="PADRO"/>
        <w:keepNext w:val="false"/>
        <w:widowControl/>
        <w:numPr>
          <w:ilvl w:val="0"/>
          <w:numId w:val="1"/>
        </w:numPr>
        <w:shd w:val="clear" w:fill="FFFFFF"/>
        <w:spacing w:before="120" w:after="120"/>
        <w:rPr>
          <w:rFonts w:ascii="Arial" w:hAnsi="Arial" w:cs="Arial"/>
          <w:b/>
          <w:b/>
        </w:rPr>
      </w:pPr>
      <w:r>
        <w:rPr>
          <w:rFonts w:cs="Arial" w:ascii="Arial" w:hAnsi="Arial"/>
          <w:b/>
        </w:rPr>
        <w:t>INGRESSO NA DISPENSA ELETRÔNICA E CADASTRAMENTO DA PROPOSTA INICIAL</w:t>
      </w:r>
    </w:p>
    <w:p>
      <w:pPr>
        <w:pStyle w:val="Normal"/>
        <w:numPr>
          <w:ilvl w:val="1"/>
          <w:numId w:val="1"/>
        </w:numPr>
        <w:snapToGrid w:val="false"/>
        <w:spacing w:lineRule="auto" w:line="276" w:before="120" w:after="120"/>
        <w:ind w:left="425" w:right="0" w:hanging="0"/>
        <w:jc w:val="both"/>
        <w:rPr>
          <w:rFonts w:cs="Arial"/>
          <w:color w:val="000000"/>
          <w:szCs w:val="20"/>
        </w:rPr>
      </w:pPr>
      <w:r>
        <w:rPr>
          <w:rFonts w:cs="Arial"/>
          <w:color w:val="000000"/>
          <w:szCs w:val="20"/>
        </w:rPr>
        <w:t>O ingresso do fornecedor na disputa da dispensa eletrônica se dará com o cadastramento de sua proposta inicial, na forma deste item.</w:t>
      </w:r>
    </w:p>
    <w:p>
      <w:pPr>
        <w:pStyle w:val="Normal"/>
        <w:numPr>
          <w:ilvl w:val="1"/>
          <w:numId w:val="1"/>
        </w:numPr>
        <w:snapToGrid w:val="false"/>
        <w:spacing w:lineRule="auto" w:line="276" w:before="120" w:after="120"/>
        <w:ind w:left="425" w:right="0" w:hanging="0"/>
        <w:jc w:val="both"/>
        <w:rPr>
          <w:rFonts w:cs="Arial"/>
          <w:color w:val="000000"/>
          <w:szCs w:val="20"/>
        </w:rPr>
      </w:pPr>
      <w:r>
        <w:rPr>
          <w:rFonts w:cs="Arial"/>
          <w:color w:val="000000"/>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numPr>
          <w:ilvl w:val="2"/>
          <w:numId w:val="1"/>
        </w:numPr>
        <w:spacing w:lineRule="auto" w:line="276" w:before="120" w:after="120"/>
        <w:jc w:val="both"/>
        <w:rPr>
          <w:rFonts w:cs="Arial"/>
          <w:szCs w:val="20"/>
        </w:rPr>
      </w:pPr>
      <w:r>
        <w:rPr>
          <w:rFonts w:cs="Arial"/>
          <w:szCs w:val="20"/>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1"/>
        </w:numPr>
        <w:spacing w:lineRule="auto" w:line="276" w:before="120" w:after="120"/>
        <w:ind w:left="425" w:right="0" w:hanging="0"/>
        <w:jc w:val="both"/>
        <w:rPr/>
      </w:pPr>
      <w:r>
        <w:rPr>
          <w:rFonts w:cs="Arial"/>
          <w:szCs w:val="20"/>
        </w:rPr>
        <w:t xml:space="preserve">Todas as especificações do </w:t>
      </w:r>
      <w:r>
        <w:rPr>
          <w:rFonts w:cs="Arial"/>
          <w:color w:val="000000"/>
          <w:szCs w:val="20"/>
        </w:rPr>
        <w:t>objeto</w:t>
      </w:r>
      <w:r>
        <w:rPr>
          <w:rFonts w:cs="Arial"/>
          <w:szCs w:val="20"/>
        </w:rPr>
        <w:t xml:space="preserve"> contidas na proposta, em especial o preço, vinculam a Contratada.</w:t>
      </w:r>
    </w:p>
    <w:p>
      <w:pPr>
        <w:pStyle w:val="Normal"/>
        <w:numPr>
          <w:ilvl w:val="1"/>
          <w:numId w:val="1"/>
        </w:numPr>
        <w:spacing w:lineRule="auto" w:line="276" w:before="120" w:after="120"/>
        <w:ind w:left="425" w:right="0" w:hanging="0"/>
        <w:jc w:val="both"/>
        <w:rPr>
          <w:rFonts w:cs="Arial"/>
          <w:szCs w:val="20"/>
        </w:rPr>
      </w:pPr>
      <w:r>
        <w:rPr>
          <w:rFonts w:cs="Arial"/>
          <w:szCs w:val="20"/>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1"/>
        </w:numPr>
        <w:spacing w:lineRule="auto" w:line="276" w:before="120" w:after="120"/>
        <w:jc w:val="both"/>
        <w:rPr>
          <w:rFonts w:cs="Arial"/>
          <w:szCs w:val="20"/>
        </w:rPr>
      </w:pPr>
      <w:r>
        <w:rPr>
          <w:rFonts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1"/>
        </w:numPr>
        <w:spacing w:lineRule="auto" w:line="276" w:before="120" w:after="120"/>
        <w:ind w:left="425" w:right="0" w:hanging="0"/>
        <w:jc w:val="both"/>
        <w:rPr>
          <w:rFonts w:cs="Arial"/>
          <w:szCs w:val="20"/>
        </w:rPr>
      </w:pPr>
      <w:r>
        <w:rPr>
          <w:rFonts w:cs="Arial"/>
          <w:szCs w:val="20"/>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1"/>
        </w:numPr>
        <w:spacing w:lineRule="auto" w:line="276" w:before="120" w:after="120"/>
        <w:ind w:left="425" w:right="0" w:hanging="0"/>
        <w:jc w:val="both"/>
        <w:rPr>
          <w:rFonts w:cs="Arial"/>
          <w:szCs w:val="20"/>
        </w:rPr>
      </w:pPr>
      <w:r>
        <w:rPr>
          <w:rFonts w:cs="Arial"/>
          <w:szCs w:val="20"/>
        </w:rPr>
        <w:t>Independentemente do percentual de tributo inserido na planilha, no pagamento serão retidos na fonte os percentuais estabelecidos na legislação vigente.</w:t>
      </w:r>
    </w:p>
    <w:p>
      <w:pPr>
        <w:pStyle w:val="Normal"/>
        <w:numPr>
          <w:ilvl w:val="1"/>
          <w:numId w:val="1"/>
        </w:numPr>
        <w:spacing w:lineRule="auto" w:line="276" w:before="120" w:after="120"/>
        <w:ind w:left="425" w:right="0" w:hanging="0"/>
        <w:jc w:val="both"/>
        <w:rPr/>
      </w:pPr>
      <w:r>
        <w:rPr>
          <w:rFonts w:cs="Arial"/>
          <w:szCs w:val="20"/>
        </w:rPr>
        <w:t xml:space="preserve">A apresentação das propostas implica obrigatoriedade do cumprimento das disposições nelas contidas, em conformidade com o que dispõe o </w:t>
      </w:r>
      <w:r>
        <w:rPr>
          <w:rFonts w:cs="Arial"/>
          <w:b/>
          <w:color w:val="000000"/>
          <w:szCs w:val="20"/>
        </w:rPr>
        <w:t>Termo de Referência</w:t>
      </w:r>
      <w:r>
        <w:rPr>
          <w:rFonts w:cs="Arial"/>
          <w:i/>
          <w:color w:val="000000"/>
          <w:szCs w:val="20"/>
        </w:rPr>
        <w:t xml:space="preserve">, </w:t>
      </w:r>
      <w:r>
        <w:rPr>
          <w:rFonts w:cs="Arial"/>
          <w:szCs w:val="20"/>
        </w:rPr>
        <w:t>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1"/>
        </w:numPr>
        <w:spacing w:lineRule="auto" w:line="276" w:before="120" w:after="120"/>
        <w:ind w:left="425" w:right="0" w:hanging="0"/>
        <w:jc w:val="both"/>
        <w:rPr/>
      </w:pPr>
      <w:r>
        <w:rPr>
          <w:rFonts w:cs="Arial"/>
          <w:szCs w:val="20"/>
        </w:rPr>
        <w:t xml:space="preserve">Uma vez enviada a proposta no sistema, os fornecedores </w:t>
      </w:r>
      <w:r>
        <w:rPr>
          <w:rFonts w:cs="Arial"/>
          <w:b/>
          <w:bCs/>
          <w:szCs w:val="20"/>
        </w:rPr>
        <w:t xml:space="preserve">NÃO </w:t>
      </w:r>
      <w:r>
        <w:rPr>
          <w:rFonts w:cs="Arial"/>
          <w:szCs w:val="20"/>
        </w:rPr>
        <w:t>poderão retirá-la, substituí-la ou modificá-la</w:t>
      </w:r>
      <w:r>
        <w:rPr>
          <w:rFonts w:cs="Arial"/>
          <w:color w:val="000000"/>
          <w:szCs w:val="20"/>
        </w:rPr>
        <w:t>;</w:t>
      </w:r>
    </w:p>
    <w:p>
      <w:pPr>
        <w:pStyle w:val="Normal"/>
        <w:numPr>
          <w:ilvl w:val="1"/>
          <w:numId w:val="1"/>
        </w:numPr>
        <w:spacing w:lineRule="auto" w:line="276" w:before="120" w:after="120"/>
        <w:ind w:left="425" w:right="0" w:hanging="0"/>
        <w:jc w:val="both"/>
        <w:rPr/>
      </w:pPr>
      <w:r>
        <w:rPr>
          <w:rFonts w:cs="Arial"/>
          <w:color w:val="000000"/>
          <w:szCs w:val="20"/>
        </w:rPr>
        <w:t xml:space="preserve">No cadastramento da proposta inicial, o fornecedor deverá, também,assinalar “sim” ou “não” em campo </w:t>
      </w:r>
      <w:r>
        <w:rPr>
          <w:rFonts w:cs="Arial"/>
          <w:szCs w:val="20"/>
        </w:rPr>
        <w:t>próprio</w:t>
      </w:r>
      <w:r>
        <w:rPr>
          <w:rFonts w:cs="Arial"/>
          <w:color w:val="000000"/>
          <w:szCs w:val="20"/>
        </w:rPr>
        <w:t xml:space="preserve"> do sistema eletrônico, às seguintes declarações:</w:t>
      </w:r>
    </w:p>
    <w:p>
      <w:pPr>
        <w:pStyle w:val="ListParagraph"/>
        <w:numPr>
          <w:ilvl w:val="0"/>
          <w:numId w:val="2"/>
        </w:numPr>
        <w:tabs>
          <w:tab w:val="left" w:pos="1440" w:leader="none"/>
        </w:tabs>
        <w:snapToGrid w:val="false"/>
        <w:spacing w:lineRule="auto" w:line="276" w:before="120" w:after="120"/>
        <w:contextualSpacing/>
        <w:jc w:val="both"/>
        <w:rPr>
          <w:rFonts w:cs="Arial"/>
          <w:bCs/>
          <w:vanish/>
          <w:color w:val="000000"/>
          <w:szCs w:val="20"/>
        </w:rPr>
      </w:pPr>
      <w:r>
        <w:rPr>
          <w:rFonts w:cs="Arial"/>
          <w:bCs/>
          <w:vanish/>
          <w:color w:val="000000"/>
          <w:szCs w:val="20"/>
        </w:rPr>
      </w:r>
    </w:p>
    <w:p>
      <w:pPr>
        <w:pStyle w:val="ListParagraph"/>
        <w:numPr>
          <w:ilvl w:val="1"/>
          <w:numId w:val="2"/>
        </w:numPr>
        <w:tabs>
          <w:tab w:val="left" w:pos="1440" w:leader="none"/>
        </w:tabs>
        <w:snapToGrid w:val="false"/>
        <w:spacing w:lineRule="auto" w:line="276" w:before="120" w:after="120"/>
        <w:contextualSpacing/>
        <w:jc w:val="both"/>
        <w:rPr>
          <w:rFonts w:cs="Arial"/>
          <w:bCs/>
          <w:vanish/>
          <w:color w:val="000000"/>
          <w:szCs w:val="20"/>
        </w:rPr>
      </w:pPr>
      <w:r>
        <w:rPr>
          <w:rFonts w:cs="Arial"/>
          <w:bCs/>
          <w:vanish/>
          <w:color w:val="000000"/>
          <w:szCs w:val="20"/>
        </w:rPr>
      </w:r>
    </w:p>
    <w:p>
      <w:pPr>
        <w:pStyle w:val="ListParagraph"/>
        <w:numPr>
          <w:ilvl w:val="1"/>
          <w:numId w:val="2"/>
        </w:numPr>
        <w:tabs>
          <w:tab w:val="left" w:pos="1440" w:leader="none"/>
        </w:tabs>
        <w:snapToGrid w:val="false"/>
        <w:spacing w:lineRule="auto" w:line="276" w:before="120" w:after="120"/>
        <w:contextualSpacing/>
        <w:jc w:val="both"/>
        <w:rPr>
          <w:rFonts w:cs="Arial"/>
          <w:bCs/>
          <w:vanish/>
          <w:color w:val="000000"/>
          <w:szCs w:val="20"/>
        </w:rPr>
      </w:pPr>
      <w:r>
        <w:rPr>
          <w:rFonts w:cs="Arial"/>
          <w:bCs/>
          <w:vanish/>
          <w:color w:val="000000"/>
          <w:szCs w:val="20"/>
        </w:rPr>
      </w:r>
    </w:p>
    <w:p>
      <w:pPr>
        <w:pStyle w:val="ListParagraph"/>
        <w:numPr>
          <w:ilvl w:val="1"/>
          <w:numId w:val="2"/>
        </w:numPr>
        <w:tabs>
          <w:tab w:val="left" w:pos="1440" w:leader="none"/>
        </w:tabs>
        <w:snapToGrid w:val="false"/>
        <w:spacing w:lineRule="auto" w:line="276" w:before="120" w:after="120"/>
        <w:contextualSpacing/>
        <w:jc w:val="both"/>
        <w:rPr>
          <w:rFonts w:cs="Arial"/>
          <w:bCs/>
          <w:vanish/>
          <w:color w:val="000000"/>
          <w:szCs w:val="20"/>
        </w:rPr>
      </w:pPr>
      <w:r>
        <w:rPr>
          <w:rFonts w:cs="Arial"/>
          <w:bCs/>
          <w:vanish/>
          <w:color w:val="000000"/>
          <w:szCs w:val="20"/>
        </w:rPr>
      </w:r>
    </w:p>
    <w:p>
      <w:pPr>
        <w:pStyle w:val="Normal"/>
        <w:numPr>
          <w:ilvl w:val="2"/>
          <w:numId w:val="1"/>
        </w:numPr>
        <w:spacing w:lineRule="auto" w:line="276" w:before="120" w:after="120"/>
        <w:jc w:val="both"/>
        <w:rPr>
          <w:rFonts w:cs="Arial"/>
          <w:color w:val="000000"/>
          <w:szCs w:val="20"/>
        </w:rPr>
      </w:pPr>
      <w:r>
        <w:rPr>
          <w:rFonts w:cs="Arial"/>
          <w:color w:val="000000"/>
          <w:szCs w:val="20"/>
        </w:rPr>
        <w:t>que inexistem fatos impeditivos para sua habilitação no certame, ciente da obrigatoriedade de declarar ocorrências posteriores;</w:t>
      </w:r>
    </w:p>
    <w:p>
      <w:pPr>
        <w:pStyle w:val="Normal"/>
        <w:numPr>
          <w:ilvl w:val="2"/>
          <w:numId w:val="1"/>
        </w:numPr>
        <w:spacing w:lineRule="auto" w:line="276" w:before="120" w:after="120"/>
        <w:jc w:val="both"/>
        <w:rPr/>
      </w:pPr>
      <w:r>
        <w:rPr>
          <w:rFonts w:cs="Arial"/>
          <w:color w:val="000000"/>
          <w:szCs w:val="20"/>
        </w:rPr>
        <w:t>que cumpre os requisitos estabelecidos no artigo 3° da Lei Complementar nº 123, de 2006, estando apto a usufruir do tratamento favorecido estabelecido em seus arts. 42 a 49.</w:t>
      </w:r>
    </w:p>
    <w:p>
      <w:pPr>
        <w:pStyle w:val="Normal"/>
        <w:numPr>
          <w:ilvl w:val="2"/>
          <w:numId w:val="1"/>
        </w:numPr>
        <w:spacing w:lineRule="auto" w:line="276" w:before="120" w:after="120"/>
        <w:jc w:val="both"/>
        <w:rPr>
          <w:rFonts w:cs="Arial"/>
          <w:color w:val="000000"/>
          <w:szCs w:val="20"/>
        </w:rPr>
      </w:pPr>
      <w:r>
        <w:rPr>
          <w:rFonts w:cs="Arial"/>
          <w:color w:val="000000"/>
          <w:szCs w:val="20"/>
        </w:rPr>
        <w:t>que está ciente e concorda com as condições contidas no Aviso de Contratação Direta e seus anexos;</w:t>
      </w:r>
    </w:p>
    <w:p>
      <w:pPr>
        <w:pStyle w:val="Normal"/>
        <w:numPr>
          <w:ilvl w:val="2"/>
          <w:numId w:val="1"/>
        </w:numPr>
        <w:spacing w:lineRule="auto" w:line="276" w:before="120" w:after="120"/>
        <w:jc w:val="both"/>
        <w:rPr>
          <w:rFonts w:cs="Arial"/>
          <w:color w:val="000000"/>
          <w:szCs w:val="20"/>
        </w:rPr>
      </w:pPr>
      <w:r>
        <w:rPr>
          <w:rFonts w:cs="Arial"/>
          <w:color w:val="000000"/>
          <w:szCs w:val="20"/>
        </w:rPr>
        <w:t>que assume a responsabilidade pelas transações que forem efetuadas no sistema, assumindo como firmes e verdadeiras;</w:t>
      </w:r>
    </w:p>
    <w:p>
      <w:pPr>
        <w:pStyle w:val="Normal"/>
        <w:numPr>
          <w:ilvl w:val="2"/>
          <w:numId w:val="1"/>
        </w:numPr>
        <w:spacing w:lineRule="auto" w:line="276" w:before="120" w:after="120"/>
        <w:jc w:val="both"/>
        <w:rPr>
          <w:rFonts w:cs="Arial"/>
          <w:color w:val="000000"/>
          <w:szCs w:val="20"/>
        </w:rPr>
      </w:pPr>
      <w:r>
        <w:rPr>
          <w:rFonts w:cs="Arial"/>
          <w:color w:val="000000"/>
          <w:szCs w:val="20"/>
        </w:rPr>
        <w:t>que cumpre as exigências de reserva de cargos para pessoa com deficiência e para reabilitado da Previdência Social, de que trata o art. 93 da Lei nº 8.213/91.</w:t>
      </w:r>
    </w:p>
    <w:p>
      <w:pPr>
        <w:pStyle w:val="Normal"/>
        <w:numPr>
          <w:ilvl w:val="2"/>
          <w:numId w:val="1"/>
        </w:numPr>
        <w:spacing w:lineRule="auto" w:line="276" w:before="120" w:after="120"/>
        <w:jc w:val="both"/>
        <w:rPr>
          <w:rFonts w:cs="Arial"/>
          <w:color w:val="000000"/>
          <w:szCs w:val="20"/>
        </w:rPr>
      </w:pPr>
      <w:r>
        <w:rPr>
          <w:rFonts w:cs="Arial"/>
          <w:color w:val="000000"/>
          <w:szCs w:val="20"/>
        </w:rPr>
        <w:t>que não emprega menor de 18 anos em trabalho noturno, perigoso ou insalubre e não emprega menor de 16 anos, salvo menor, a partir de 14 anos, na condição de aprendiz, nos termos do artigo 7°, XXXIII, da Constituição;</w:t>
      </w:r>
    </w:p>
    <w:p>
      <w:pPr>
        <w:pStyle w:val="PADRO"/>
        <w:keepNext w:val="false"/>
        <w:widowControl/>
        <w:numPr>
          <w:ilvl w:val="0"/>
          <w:numId w:val="1"/>
        </w:numPr>
        <w:shd w:val="clear" w:fill="FFFFFF"/>
        <w:spacing w:before="120" w:after="120"/>
        <w:rPr>
          <w:rFonts w:ascii="Arial" w:hAnsi="Arial" w:cs="Arial"/>
          <w:b/>
          <w:b/>
        </w:rPr>
      </w:pPr>
      <w:r>
        <w:rPr>
          <w:rFonts w:cs="Arial" w:ascii="Arial" w:hAnsi="Arial"/>
          <w:b/>
        </w:rPr>
        <w:t>FASE DE LANCES</w:t>
      </w:r>
    </w:p>
    <w:p>
      <w:pPr>
        <w:pStyle w:val="ListParagraph"/>
        <w:numPr>
          <w:ilvl w:val="1"/>
          <w:numId w:val="1"/>
        </w:numPr>
        <w:spacing w:lineRule="auto" w:line="276" w:before="120" w:after="120"/>
        <w:contextualSpacing/>
        <w:jc w:val="both"/>
        <w:rPr/>
      </w:pPr>
      <w:r>
        <w:rPr>
          <w:rFonts w:cs="Arial"/>
          <w:color w:val="000000"/>
          <w:szCs w:val="20"/>
          <w:lang w:eastAsia="en-US"/>
        </w:rPr>
        <w:t xml:space="preserve">A partir das 8:00h da data estabelecida neste Aviso de Contratação Direta, a sessão pública será automaticamente aberta pelo sistema para o envio de lances públicos e sucessivos, </w:t>
      </w:r>
      <w:r>
        <w:rPr>
          <w:rFonts w:cs="Arial"/>
          <w:bCs/>
          <w:szCs w:val="20"/>
          <w:lang w:eastAsia="en-US"/>
        </w:rPr>
        <w:t>exclusivamente por meio do sistema eletrônico</w:t>
      </w:r>
      <w:r>
        <w:rPr>
          <w:rFonts w:cs="Arial"/>
          <w:szCs w:val="20"/>
          <w:lang w:eastAsia="en-US"/>
        </w:rPr>
        <w:t xml:space="preserve">, </w:t>
      </w:r>
      <w:r>
        <w:rPr>
          <w:rFonts w:cs="Arial"/>
          <w:color w:val="000000"/>
          <w:szCs w:val="20"/>
          <w:lang w:eastAsia="en-US"/>
        </w:rPr>
        <w:t>sendo encerrado no horário de finalização de lances também já previsto neste aviso.</w:t>
      </w:r>
    </w:p>
    <w:p>
      <w:pPr>
        <w:pStyle w:val="ListParagraph"/>
        <w:numPr>
          <w:ilvl w:val="1"/>
          <w:numId w:val="1"/>
        </w:numPr>
        <w:spacing w:lineRule="auto" w:line="276" w:before="120" w:after="120"/>
        <w:contextualSpacing/>
        <w:jc w:val="both"/>
        <w:rPr>
          <w:rFonts w:cs="Arial"/>
          <w:color w:val="000000"/>
          <w:szCs w:val="20"/>
        </w:rPr>
      </w:pPr>
      <w:r>
        <w:rPr>
          <w:rFonts w:cs="Arial"/>
          <w:color w:val="000000"/>
          <w:szCs w:val="20"/>
        </w:rPr>
        <w:t xml:space="preserve">Iniciada a etapa competitiva, os fornecedores deverão encaminhar lances exclusivamente por meio de sistema eletrônico, sendo imediatamente informados do seu recebimento e do valor consignado no registro. </w:t>
      </w:r>
    </w:p>
    <w:p>
      <w:pPr>
        <w:pStyle w:val="ListParagraph"/>
        <w:numPr>
          <w:ilvl w:val="2"/>
          <w:numId w:val="1"/>
        </w:numPr>
        <w:spacing w:lineRule="auto" w:line="276" w:before="120" w:after="120"/>
        <w:contextualSpacing/>
        <w:jc w:val="both"/>
        <w:rPr>
          <w:rFonts w:cs="Arial"/>
          <w:iCs/>
          <w:color w:val="000000"/>
          <w:szCs w:val="20"/>
        </w:rPr>
      </w:pPr>
      <w:r>
        <w:rPr>
          <w:rFonts w:cs="Arial"/>
          <w:iCs/>
          <w:color w:val="000000"/>
          <w:szCs w:val="20"/>
        </w:rPr>
        <w:t>O lance deverá ser ofertado pelo valor total do item.</w:t>
      </w:r>
    </w:p>
    <w:p>
      <w:pPr>
        <w:pStyle w:val="ListParagraph"/>
        <w:numPr>
          <w:ilvl w:val="1"/>
          <w:numId w:val="1"/>
        </w:numPr>
        <w:spacing w:lineRule="auto" w:line="276" w:before="120" w:after="120"/>
        <w:contextualSpacing/>
        <w:jc w:val="both"/>
        <w:rPr>
          <w:rFonts w:cs="Arial"/>
          <w:color w:val="000000"/>
          <w:szCs w:val="20"/>
          <w:lang w:eastAsia="en-US"/>
        </w:rPr>
      </w:pPr>
      <w:r>
        <w:rPr>
          <w:rFonts w:cs="Arial"/>
          <w:color w:val="000000"/>
          <w:szCs w:val="20"/>
          <w:lang w:eastAsia="en-US"/>
        </w:rPr>
        <w:t>O fornecedor somente poderá oferecer valor inferior ou maior percentual de desconto em relação ao último lance por ele ofertado e registrado pelo sistema.</w:t>
      </w:r>
    </w:p>
    <w:p>
      <w:pPr>
        <w:pStyle w:val="ListParagraph"/>
        <w:numPr>
          <w:ilvl w:val="2"/>
          <w:numId w:val="1"/>
        </w:numPr>
        <w:spacing w:lineRule="auto" w:line="276" w:before="120" w:after="120"/>
        <w:contextualSpacing/>
        <w:jc w:val="both"/>
        <w:rPr>
          <w:rFonts w:cs="Arial"/>
          <w:color w:val="000000"/>
          <w:szCs w:val="20"/>
          <w:lang w:eastAsia="en-US"/>
        </w:rPr>
      </w:pPr>
      <w:r>
        <w:rPr>
          <w:rFonts w:cs="Arial"/>
          <w:color w:val="000000"/>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ListParagraph"/>
        <w:numPr>
          <w:ilvl w:val="2"/>
          <w:numId w:val="1"/>
        </w:numPr>
        <w:spacing w:lineRule="auto" w:line="276" w:before="120" w:after="120"/>
        <w:contextualSpacing/>
        <w:jc w:val="both"/>
        <w:rPr>
          <w:rFonts w:cs="Arial"/>
          <w:szCs w:val="20"/>
        </w:rPr>
      </w:pPr>
      <w:r>
        <w:rPr>
          <w:rFonts w:cs="Arial"/>
          <w:szCs w:val="20"/>
        </w:rPr>
        <w:t>O intervalo mínimo de diferença de valores ou percentuais entre os lances, que incidirá tanto em relação aos lances intermediários quanto em relação ao que cobrir a melhor oferta é de</w:t>
      </w:r>
    </w:p>
    <w:p>
      <w:pPr>
        <w:pStyle w:val="ListParagraph"/>
        <w:numPr>
          <w:ilvl w:val="1"/>
          <w:numId w:val="1"/>
        </w:numPr>
        <w:spacing w:lineRule="auto" w:line="276" w:before="120" w:after="120"/>
        <w:contextualSpacing/>
        <w:jc w:val="both"/>
        <w:rPr>
          <w:rFonts w:cs="Arial"/>
          <w:color w:val="000000"/>
          <w:szCs w:val="20"/>
          <w:lang w:eastAsia="en-US"/>
        </w:rPr>
      </w:pPr>
      <w:r>
        <w:rPr>
          <w:rFonts w:cs="Arial"/>
          <w:color w:val="000000"/>
          <w:szCs w:val="20"/>
          <w:lang w:eastAsia="en-US"/>
        </w:rPr>
        <w:t>Havendo lances iguais ao menor já ofertado, prevalecerá aquele que for recebido e registrado primeiro no sistema.</w:t>
      </w:r>
    </w:p>
    <w:p>
      <w:pPr>
        <w:pStyle w:val="ListParagraph"/>
        <w:numPr>
          <w:ilvl w:val="1"/>
          <w:numId w:val="1"/>
        </w:numPr>
        <w:spacing w:lineRule="auto" w:line="276" w:before="120" w:after="120"/>
        <w:contextualSpacing/>
        <w:jc w:val="both"/>
        <w:rPr>
          <w:rFonts w:cs="Arial"/>
          <w:color w:val="000000"/>
          <w:szCs w:val="20"/>
          <w:lang w:eastAsia="en-US"/>
        </w:rPr>
      </w:pPr>
      <w:r>
        <w:rPr>
          <w:rFonts w:cs="Arial"/>
          <w:color w:val="000000"/>
          <w:szCs w:val="20"/>
          <w:lang w:eastAsia="en-US"/>
        </w:rPr>
        <w:t>Caso o fornecedor não apresente lances, concorrerá com o valor de sua proposta.</w:t>
      </w:r>
    </w:p>
    <w:p>
      <w:pPr>
        <w:pStyle w:val="ListParagraph"/>
        <w:numPr>
          <w:ilvl w:val="1"/>
          <w:numId w:val="1"/>
        </w:numPr>
        <w:spacing w:lineRule="auto" w:line="276" w:before="120" w:after="120"/>
        <w:contextualSpacing/>
        <w:jc w:val="both"/>
        <w:rPr>
          <w:rFonts w:cs="Arial"/>
          <w:color w:val="000000"/>
          <w:szCs w:val="20"/>
          <w:lang w:eastAsia="en-US"/>
        </w:rPr>
      </w:pPr>
      <w:r>
        <w:rPr>
          <w:rFonts w:cs="Arial"/>
          <w:color w:val="000000"/>
          <w:szCs w:val="20"/>
          <w:lang w:eastAsia="en-US"/>
        </w:rPr>
        <w:t>Durante o procedimento, os fornecedores serão informados, em tempo real, do valor do menor lance registrado, vedada a identificação do fornecedor.</w:t>
      </w:r>
    </w:p>
    <w:p>
      <w:pPr>
        <w:pStyle w:val="ListParagraph"/>
        <w:numPr>
          <w:ilvl w:val="1"/>
          <w:numId w:val="1"/>
        </w:numPr>
        <w:spacing w:lineRule="auto" w:line="276" w:before="120" w:after="120"/>
        <w:contextualSpacing/>
        <w:jc w:val="both"/>
        <w:rPr>
          <w:rFonts w:cs="Arial"/>
          <w:color w:val="000000"/>
          <w:szCs w:val="20"/>
          <w:lang w:eastAsia="en-US"/>
        </w:rPr>
      </w:pPr>
      <w:r>
        <w:rPr>
          <w:rFonts w:cs="Arial"/>
          <w:color w:val="000000"/>
          <w:szCs w:val="20"/>
          <w:lang w:eastAsia="en-US"/>
        </w:rPr>
        <w:t>Imediatamente após o término do prazo estabelecido para a fase de lances, haverá o seu encerramento, com o ordenamento e divulgação dos lances, pelo sistema, em ordem crescente de classificação.</w:t>
      </w:r>
    </w:p>
    <w:p>
      <w:pPr>
        <w:pStyle w:val="ListParagraph"/>
        <w:numPr>
          <w:ilvl w:val="2"/>
          <w:numId w:val="1"/>
        </w:numPr>
        <w:spacing w:lineRule="auto" w:line="276" w:before="120" w:after="120"/>
        <w:contextualSpacing/>
        <w:jc w:val="both"/>
        <w:rPr>
          <w:rFonts w:cs="Arial"/>
          <w:color w:val="000000"/>
          <w:szCs w:val="20"/>
          <w:lang w:eastAsia="en-US"/>
        </w:rPr>
      </w:pPr>
      <w:r>
        <w:rPr>
          <w:rFonts w:cs="Arial"/>
          <w:color w:val="000000"/>
          <w:szCs w:val="20"/>
          <w:lang w:eastAsia="en-US"/>
        </w:rPr>
        <w:t>O encerramento da fase de lances ocorrerá de forma automática pontualmente no horário indicado, sem qualquer possibilidade de prorrogação e não havendo tempo aleatório ou mecanismo similar.</w:t>
      </w:r>
    </w:p>
    <w:p>
      <w:pPr>
        <w:pStyle w:val="PADRO"/>
        <w:keepNext w:val="false"/>
        <w:widowControl/>
        <w:numPr>
          <w:ilvl w:val="0"/>
          <w:numId w:val="1"/>
        </w:numPr>
        <w:shd w:val="clear" w:fill="FFFFFF"/>
        <w:spacing w:before="120" w:after="120"/>
        <w:rPr>
          <w:rFonts w:ascii="Arial" w:hAnsi="Arial" w:cs="Arial"/>
          <w:b/>
          <w:b/>
        </w:rPr>
      </w:pPr>
      <w:r>
        <w:rPr>
          <w:rFonts w:cs="Arial" w:ascii="Arial" w:hAnsi="Arial"/>
          <w:b/>
        </w:rPr>
        <w:t>JULGAMENTO DAS PROPOSTAS DE PREÇO</w:t>
      </w:r>
    </w:p>
    <w:p>
      <w:pPr>
        <w:pStyle w:val="ListParagraph"/>
        <w:numPr>
          <w:ilvl w:val="1"/>
          <w:numId w:val="1"/>
        </w:numPr>
        <w:spacing w:lineRule="auto" w:line="276" w:before="120" w:after="120"/>
        <w:contextualSpacing/>
        <w:jc w:val="both"/>
        <w:rPr>
          <w:rFonts w:cs="Arial"/>
        </w:rPr>
      </w:pPr>
      <w:r>
        <w:rPr>
          <w:rFonts w:cs="Arial"/>
        </w:rPr>
        <w:t>Encerrada a fase de lances, será verificada a conformidade da proposta classificada em primeiro lugar quanto à adequação do objeto e à compatibilidade do preço em relação ao estipulado para a contratação.</w:t>
      </w:r>
    </w:p>
    <w:p>
      <w:pPr>
        <w:pStyle w:val="ListParagraph"/>
        <w:numPr>
          <w:ilvl w:val="1"/>
          <w:numId w:val="1"/>
        </w:numPr>
        <w:spacing w:lineRule="auto" w:line="276" w:before="120" w:after="120"/>
        <w:contextualSpacing/>
        <w:jc w:val="both"/>
        <w:rPr>
          <w:rFonts w:cs="Arial"/>
        </w:rPr>
      </w:pPr>
      <w:r>
        <w:rPr>
          <w:rFonts w:cs="Arial"/>
        </w:rPr>
        <w:t>No caso de o preço da proposta vencedora estar acima do estimado pela Administração, poderá haver a negociação de condições mais vantajosas.</w:t>
      </w:r>
    </w:p>
    <w:p>
      <w:pPr>
        <w:pStyle w:val="ListParagraph"/>
        <w:numPr>
          <w:ilvl w:val="2"/>
          <w:numId w:val="1"/>
        </w:numPr>
        <w:spacing w:lineRule="auto" w:line="276" w:before="120" w:after="120"/>
        <w:contextualSpacing/>
        <w:jc w:val="both"/>
        <w:rPr>
          <w:rFonts w:cs="Arial"/>
          <w:color w:val="000000"/>
          <w:szCs w:val="20"/>
        </w:rPr>
      </w:pPr>
      <w:r>
        <w:rPr>
          <w:rFonts w:cs="Arial"/>
          <w:color w:val="000000"/>
          <w:szCs w:val="20"/>
        </w:rPr>
        <w:t>Neste caso, será encaminhada contraproposta ao fornecedor que tenha apresentado o melhor preço, para que seja obtida melhor proposta com preço compatível ao estimado pela Administração.</w:t>
      </w:r>
    </w:p>
    <w:p>
      <w:pPr>
        <w:pStyle w:val="ListParagraph"/>
        <w:numPr>
          <w:ilvl w:val="2"/>
          <w:numId w:val="1"/>
        </w:numPr>
        <w:spacing w:lineRule="auto" w:line="276" w:before="120" w:after="120"/>
        <w:contextualSpacing/>
        <w:jc w:val="both"/>
        <w:rPr>
          <w:rFonts w:cs="Arial"/>
        </w:rPr>
      </w:pPr>
      <w:r>
        <w:rPr>
          <w:rFonts w:cs="Arial"/>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ListParagraph"/>
        <w:numPr>
          <w:ilvl w:val="2"/>
          <w:numId w:val="1"/>
        </w:numPr>
        <w:spacing w:lineRule="auto" w:line="276" w:before="120" w:after="120"/>
        <w:contextualSpacing/>
        <w:jc w:val="both"/>
        <w:rPr>
          <w:rFonts w:cs="Arial"/>
        </w:rPr>
      </w:pPr>
      <w:r>
        <w:rPr>
          <w:rFonts w:cs="Arial"/>
        </w:rPr>
        <w:t>Em qualquer caso, concluída a negociação, o resultado será registrado na ata do procedimento da dispensa eletrônica.</w:t>
      </w:r>
    </w:p>
    <w:p>
      <w:pPr>
        <w:pStyle w:val="ListParagraph"/>
        <w:numPr>
          <w:ilvl w:val="1"/>
          <w:numId w:val="1"/>
        </w:numPr>
        <w:spacing w:lineRule="auto" w:line="276" w:before="120" w:after="120"/>
        <w:contextualSpacing/>
        <w:jc w:val="both"/>
        <w:rPr>
          <w:rFonts w:cs="Arial"/>
        </w:rPr>
      </w:pPr>
      <w:r>
        <w:rPr>
          <w:rFonts w:cs="Arial"/>
        </w:rPr>
        <w:t>Estando o preço compatível, será solicitado o envio da proposta e, se necessário, de documentos complementares, adequada ao último lance.</w:t>
      </w:r>
    </w:p>
    <w:p>
      <w:pPr>
        <w:pStyle w:val="Normal"/>
        <w:numPr>
          <w:ilvl w:val="1"/>
          <w:numId w:val="1"/>
        </w:numPr>
        <w:spacing w:lineRule="auto" w:line="276" w:before="120" w:after="120"/>
        <w:jc w:val="both"/>
        <w:rPr/>
      </w:pPr>
      <w:r>
        <w:rPr>
          <w:rFonts w:cs="Arial"/>
          <w:color w:val="000000"/>
          <w:szCs w:val="20"/>
        </w:rPr>
        <w:t xml:space="preserve">O prazo de validade </w:t>
      </w:r>
      <w:r>
        <w:rPr>
          <w:rFonts w:cs="Arial"/>
          <w:szCs w:val="20"/>
        </w:rPr>
        <w:t>da</w:t>
      </w:r>
      <w:r>
        <w:rPr>
          <w:rFonts w:cs="Arial"/>
          <w:color w:val="000000"/>
          <w:szCs w:val="20"/>
        </w:rPr>
        <w:t xml:space="preserve"> proposta não será inferior a 60 (sessenta) dias</w:t>
      </w:r>
      <w:r>
        <w:rPr>
          <w:rFonts w:cs="Arial"/>
          <w:b/>
          <w:bCs/>
          <w:color w:val="000000"/>
          <w:szCs w:val="20"/>
        </w:rPr>
        <w:t>,</w:t>
      </w:r>
      <w:r>
        <w:rPr>
          <w:rFonts w:cs="Arial"/>
          <w:color w:val="000000"/>
          <w:szCs w:val="20"/>
        </w:rPr>
        <w:t xml:space="preserve"> a contar da data de sua apresentação.</w:t>
      </w:r>
    </w:p>
    <w:p>
      <w:pPr>
        <w:pStyle w:val="ListParagraph"/>
        <w:numPr>
          <w:ilvl w:val="1"/>
          <w:numId w:val="1"/>
        </w:numPr>
        <w:spacing w:lineRule="auto" w:line="276" w:before="120" w:after="120"/>
        <w:contextualSpacing/>
        <w:jc w:val="both"/>
        <w:rPr>
          <w:rFonts w:cs="Arial"/>
          <w:color w:val="000000"/>
          <w:szCs w:val="20"/>
          <w:lang w:eastAsia="en-US"/>
        </w:rPr>
      </w:pPr>
      <w:r>
        <w:rPr>
          <w:rFonts w:cs="Arial"/>
          <w:color w:val="000000"/>
          <w:szCs w:val="20"/>
          <w:lang w:eastAsia="en-US"/>
        </w:rPr>
        <w:t xml:space="preserve">Será desclassificada a proposta vencedora que: </w:t>
      </w:r>
    </w:p>
    <w:p>
      <w:pPr>
        <w:pStyle w:val="ListParagraph"/>
        <w:numPr>
          <w:ilvl w:val="2"/>
          <w:numId w:val="1"/>
        </w:numPr>
        <w:spacing w:lineRule="auto" w:line="276" w:before="120" w:after="120"/>
        <w:contextualSpacing/>
        <w:jc w:val="both"/>
        <w:rPr/>
      </w:pPr>
      <w:r>
        <w:rPr>
          <w:rFonts w:cs="Arial"/>
          <w:color w:val="000000"/>
          <w:szCs w:val="20"/>
        </w:rPr>
        <w:t>contiver vícios insanáveis</w:t>
      </w:r>
      <w:r>
        <w:rPr>
          <w:rFonts w:cs="Arial"/>
          <w:iCs/>
          <w:color w:val="000000"/>
          <w:szCs w:val="20"/>
        </w:rPr>
        <w:t>;</w:t>
      </w:r>
    </w:p>
    <w:p>
      <w:pPr>
        <w:pStyle w:val="ListParagraph"/>
        <w:numPr>
          <w:ilvl w:val="2"/>
          <w:numId w:val="1"/>
        </w:numPr>
        <w:spacing w:lineRule="auto" w:line="276" w:before="120" w:after="120"/>
        <w:contextualSpacing/>
        <w:jc w:val="both"/>
        <w:rPr/>
      </w:pPr>
      <w:r>
        <w:rPr>
          <w:rFonts w:cs="Arial"/>
          <w:color w:val="000000"/>
          <w:szCs w:val="20"/>
        </w:rPr>
        <w:t>não obedecer às especificações técnicas pormenorizadas neste aviso ou em seus anexos</w:t>
      </w:r>
      <w:r>
        <w:rPr>
          <w:rFonts w:cs="Arial"/>
          <w:iCs/>
          <w:color w:val="000000"/>
          <w:szCs w:val="20"/>
        </w:rPr>
        <w:t>;</w:t>
      </w:r>
    </w:p>
    <w:p>
      <w:pPr>
        <w:pStyle w:val="ListParagraph"/>
        <w:numPr>
          <w:ilvl w:val="2"/>
          <w:numId w:val="1"/>
        </w:numPr>
        <w:spacing w:lineRule="auto" w:line="276" w:before="120" w:after="120"/>
        <w:contextualSpacing/>
        <w:jc w:val="both"/>
        <w:rPr>
          <w:rFonts w:cs="Arial"/>
          <w:color w:val="000000"/>
          <w:szCs w:val="20"/>
        </w:rPr>
      </w:pPr>
      <w:r>
        <w:rPr>
          <w:rFonts w:cs="Arial"/>
          <w:color w:val="000000"/>
          <w:szCs w:val="20"/>
        </w:rPr>
        <w:t>apresentar preços inexequíveis ou permanecerem acima do preço máximo definido para a contratação;</w:t>
      </w:r>
    </w:p>
    <w:p>
      <w:pPr>
        <w:pStyle w:val="ListParagraph"/>
        <w:numPr>
          <w:ilvl w:val="2"/>
          <w:numId w:val="1"/>
        </w:numPr>
        <w:spacing w:lineRule="auto" w:line="276" w:before="120" w:after="120"/>
        <w:contextualSpacing/>
        <w:jc w:val="both"/>
        <w:rPr/>
      </w:pPr>
      <w:r>
        <w:rPr>
          <w:rFonts w:cs="Arial"/>
          <w:color w:val="000000"/>
          <w:szCs w:val="20"/>
        </w:rPr>
        <w:t>não tiverem sua exequibilidade demonstrada, quando exigido pela Administração</w:t>
      </w:r>
      <w:r>
        <w:rPr>
          <w:rFonts w:cs="Arial"/>
          <w:iCs/>
          <w:color w:val="000000"/>
          <w:szCs w:val="20"/>
        </w:rPr>
        <w:t>;</w:t>
      </w:r>
    </w:p>
    <w:p>
      <w:pPr>
        <w:pStyle w:val="ListParagraph"/>
        <w:numPr>
          <w:ilvl w:val="2"/>
          <w:numId w:val="1"/>
        </w:numPr>
        <w:spacing w:lineRule="auto" w:line="276" w:before="120" w:after="120"/>
        <w:contextualSpacing/>
        <w:jc w:val="both"/>
        <w:rPr>
          <w:rFonts w:cs="Arial"/>
          <w:color w:val="000000"/>
          <w:szCs w:val="20"/>
        </w:rPr>
      </w:pPr>
      <w:r>
        <w:rPr>
          <w:rFonts w:cs="Arial"/>
          <w:color w:val="000000"/>
          <w:szCs w:val="20"/>
        </w:rPr>
        <w:t>apresentar desconformidade com quaisquer outras exigências deste aviso ou seus anexos, desde que insanável.</w:t>
      </w:r>
    </w:p>
    <w:p>
      <w:pPr>
        <w:pStyle w:val="ListParagraph"/>
        <w:numPr>
          <w:ilvl w:val="1"/>
          <w:numId w:val="1"/>
        </w:numPr>
        <w:spacing w:lineRule="auto" w:line="276" w:before="120" w:after="120"/>
        <w:contextualSpacing/>
        <w:jc w:val="both"/>
        <w:rPr/>
      </w:pPr>
      <w:r>
        <w:rPr>
          <w:rFonts w:cs="Arial"/>
          <w:color w:val="000000"/>
          <w:szCs w:val="20"/>
          <w:lang w:eastAsia="en-US"/>
        </w:rPr>
        <w:t>Quando</w:t>
      </w:r>
      <w:r>
        <w:rPr>
          <w:rFonts w:cs="Arial"/>
          <w:szCs w:val="20"/>
        </w:rPr>
        <w:t xml:space="preserve"> o fornecedor não conseguir comprovar que possui ou possuirá recursos suficientes para executar a contento o objeto, será considerada inexequível a proposta de preços ou menor lance que:</w:t>
      </w:r>
    </w:p>
    <w:p>
      <w:pPr>
        <w:pStyle w:val="ListParagraph"/>
        <w:numPr>
          <w:ilvl w:val="2"/>
          <w:numId w:val="1"/>
        </w:numPr>
        <w:spacing w:lineRule="auto" w:line="276" w:before="120" w:after="120"/>
        <w:contextualSpacing/>
        <w:jc w:val="both"/>
        <w:rPr>
          <w:rFonts w:cs="Arial"/>
          <w:szCs w:val="20"/>
        </w:rPr>
      </w:pPr>
      <w:r>
        <w:rPr>
          <w:rFonts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ListParagraph"/>
        <w:numPr>
          <w:ilvl w:val="2"/>
          <w:numId w:val="1"/>
        </w:numPr>
        <w:spacing w:lineRule="auto" w:line="276" w:before="120" w:after="120"/>
        <w:contextualSpacing/>
        <w:jc w:val="both"/>
        <w:rPr>
          <w:rFonts w:cs="Arial"/>
          <w:szCs w:val="20"/>
        </w:rPr>
      </w:pPr>
      <w:r>
        <w:rPr>
          <w:rFonts w:cs="Arial"/>
          <w:szCs w:val="20"/>
        </w:rPr>
        <w:t>apresentar um ou mais valores da planilha de custo que sejam inferiores àqueles fixados em instrumentos de caráter normativo obrigatório, tais como leis, medidas provisórias e convenções coletivas de trabalho vigentes.</w:t>
      </w:r>
    </w:p>
    <w:p>
      <w:pPr>
        <w:pStyle w:val="ListParagraph"/>
        <w:numPr>
          <w:ilvl w:val="1"/>
          <w:numId w:val="1"/>
        </w:numPr>
        <w:spacing w:lineRule="auto" w:line="276" w:before="120" w:after="120"/>
        <w:ind w:left="792" w:right="-15" w:hanging="432"/>
        <w:contextualSpacing/>
        <w:jc w:val="both"/>
        <w:rPr/>
      </w:pPr>
      <w:r>
        <w:rPr>
          <w:rFonts w:cs="Arial"/>
          <w:color w:val="000000"/>
          <w:szCs w:val="20"/>
          <w:lang w:eastAsia="en-US"/>
        </w:rPr>
        <w:t xml:space="preserve">Se houver indícios de inexequibilidade da proposta de preço, ou em caso da necessidade de esclarecimentos </w:t>
      </w:r>
      <w:r>
        <w:rPr>
          <w:rFonts w:cs="Arial"/>
          <w:szCs w:val="20"/>
        </w:rPr>
        <w:t>complementares</w:t>
      </w:r>
      <w:r>
        <w:rPr>
          <w:rFonts w:cs="Arial"/>
          <w:color w:val="000000"/>
          <w:szCs w:val="20"/>
          <w:lang w:eastAsia="en-US"/>
        </w:rPr>
        <w:t xml:space="preserve">, poderão ser efetuadas diligências, para que a empresa comprove a exequibilidade da proposta.  </w:t>
      </w:r>
    </w:p>
    <w:p>
      <w:pPr>
        <w:pStyle w:val="ListParagraph"/>
        <w:numPr>
          <w:ilvl w:val="1"/>
          <w:numId w:val="1"/>
        </w:numPr>
        <w:spacing w:lineRule="auto" w:line="276" w:before="120" w:after="120"/>
        <w:contextualSpacing/>
        <w:jc w:val="both"/>
        <w:rPr/>
      </w:pPr>
      <w:r>
        <w:rPr>
          <w:rFonts w:cs="Arial"/>
          <w:color w:val="000000"/>
          <w:szCs w:val="20"/>
          <w:lang w:eastAsia="en-US"/>
        </w:rPr>
        <w:t xml:space="preserve">Erros no preenchimento da planilha não constituem motivo para a desclassificação da proposta. A planilha </w:t>
      </w:r>
      <w:r>
        <w:rPr>
          <w:rFonts w:cs="Arial"/>
          <w:szCs w:val="20"/>
        </w:rPr>
        <w:t>poderá</w:t>
      </w:r>
      <w:r>
        <w:rPr>
          <w:rFonts w:cs="Arial"/>
          <w:color w:val="000000"/>
          <w:szCs w:val="20"/>
          <w:lang w:eastAsia="en-US"/>
        </w:rPr>
        <w:t xml:space="preserve"> ser ajustada pelo fornecedor, no prazo indicado pelo sistema, desde que não haja majoração do preço.</w:t>
      </w:r>
    </w:p>
    <w:p>
      <w:pPr>
        <w:pStyle w:val="ListParagraph"/>
        <w:numPr>
          <w:ilvl w:val="2"/>
          <w:numId w:val="1"/>
        </w:numPr>
        <w:spacing w:lineRule="auto" w:line="276" w:before="120" w:after="120"/>
        <w:contextualSpacing/>
        <w:jc w:val="both"/>
        <w:rPr>
          <w:rFonts w:cs="Arial"/>
          <w:color w:val="000000"/>
          <w:szCs w:val="20"/>
          <w:lang w:eastAsia="en-US"/>
        </w:rPr>
      </w:pPr>
      <w:r>
        <w:rPr>
          <w:rFonts w:cs="Arial"/>
          <w:color w:val="000000"/>
          <w:szCs w:val="20"/>
          <w:lang w:eastAsia="en-US"/>
        </w:rPr>
        <w:t>O ajuste de que trata este dispositivo se limita a sanar erros ou falhas que não alterem a substância das propostas;</w:t>
      </w:r>
    </w:p>
    <w:p>
      <w:pPr>
        <w:pStyle w:val="ListParagraph"/>
        <w:numPr>
          <w:ilvl w:val="2"/>
          <w:numId w:val="1"/>
        </w:numPr>
        <w:spacing w:lineRule="auto" w:line="276" w:before="120" w:after="120"/>
        <w:contextualSpacing/>
        <w:jc w:val="both"/>
        <w:rPr>
          <w:rFonts w:cs="Arial"/>
          <w:color w:val="000000"/>
          <w:szCs w:val="20"/>
          <w:lang w:eastAsia="en-US"/>
        </w:rPr>
      </w:pPr>
      <w:r>
        <w:rPr>
          <w:rFonts w:cs="Arial"/>
          <w:color w:val="000000"/>
          <w:szCs w:val="20"/>
          <w:lang w:eastAsia="en-US"/>
        </w:rPr>
        <w:t>Considera-se erro no preenchimento da planilha passível de correção a indicação de recolhimento de impostos e contribuições na forma do Simples Nacional, quando não cabível esse regime.</w:t>
      </w:r>
    </w:p>
    <w:p>
      <w:pPr>
        <w:pStyle w:val="ListParagraph"/>
        <w:numPr>
          <w:ilvl w:val="1"/>
          <w:numId w:val="1"/>
        </w:numPr>
        <w:spacing w:lineRule="auto" w:line="276" w:before="120" w:after="120"/>
        <w:contextualSpacing/>
        <w:jc w:val="both"/>
        <w:rPr>
          <w:rFonts w:cs="Arial"/>
          <w:color w:val="000000"/>
          <w:szCs w:val="20"/>
          <w:lang w:eastAsia="en-US"/>
        </w:rPr>
      </w:pPr>
      <w:r>
        <w:rPr>
          <w:rFonts w:cs="Arial"/>
          <w:color w:val="000000"/>
          <w:szCs w:val="20"/>
          <w:lang w:eastAsia="en-US"/>
        </w:rPr>
        <w:t>Para fins de análise da proposta quanto ao cumprimento das especificações do objeto, poderá ser colhida a manifestação escrita do setor requisitante do serviço ou da área especializada no objeto.</w:t>
      </w:r>
    </w:p>
    <w:p>
      <w:pPr>
        <w:pStyle w:val="ListParagraph"/>
        <w:numPr>
          <w:ilvl w:val="1"/>
          <w:numId w:val="1"/>
        </w:numPr>
        <w:spacing w:lineRule="auto" w:line="276" w:before="120" w:after="120"/>
        <w:contextualSpacing/>
        <w:jc w:val="both"/>
        <w:rPr>
          <w:rFonts w:cs="Arial"/>
          <w:color w:val="000000"/>
          <w:szCs w:val="20"/>
          <w:lang w:eastAsia="en-US"/>
        </w:rPr>
      </w:pPr>
      <w:r>
        <w:rPr>
          <w:rFonts w:cs="Arial"/>
          <w:color w:val="000000"/>
          <w:szCs w:val="20"/>
          <w:lang w:eastAsia="en-US"/>
        </w:rPr>
        <w:t>Se a proposta ou lance vencedor for desclassificado, será examinada a proposta ou lance subsequente, e, assim sucessivamente, na ordem de classificação.</w:t>
      </w:r>
    </w:p>
    <w:p>
      <w:pPr>
        <w:pStyle w:val="ListParagraph"/>
        <w:numPr>
          <w:ilvl w:val="1"/>
          <w:numId w:val="1"/>
        </w:numPr>
        <w:spacing w:lineRule="auto" w:line="276" w:before="120" w:after="120"/>
        <w:contextualSpacing/>
        <w:jc w:val="both"/>
        <w:rPr>
          <w:rFonts w:cs="Arial"/>
          <w:color w:val="000000"/>
          <w:szCs w:val="20"/>
          <w:lang w:eastAsia="en-US"/>
        </w:rPr>
      </w:pPr>
      <w:r>
        <w:rPr>
          <w:rFonts w:cs="Arial"/>
          <w:color w:val="000000"/>
          <w:szCs w:val="20"/>
          <w:lang w:eastAsia="en-US"/>
        </w:rPr>
        <w:t>Havendo necessidade, a sessão será suspensa, informando-se no “chat” a nova data e horário para a sua continuidade.</w:t>
      </w:r>
    </w:p>
    <w:p>
      <w:pPr>
        <w:pStyle w:val="ListParagraph"/>
        <w:numPr>
          <w:ilvl w:val="1"/>
          <w:numId w:val="1"/>
        </w:numPr>
        <w:spacing w:lineRule="auto" w:line="276" w:before="120" w:after="120"/>
        <w:contextualSpacing/>
        <w:jc w:val="both"/>
        <w:rPr>
          <w:rFonts w:cs="Arial"/>
          <w:color w:val="000000"/>
          <w:szCs w:val="20"/>
          <w:lang w:eastAsia="en-US"/>
        </w:rPr>
      </w:pPr>
      <w:r>
        <w:rPr>
          <w:rFonts w:cs="Arial"/>
          <w:color w:val="000000"/>
          <w:szCs w:val="20"/>
          <w:lang w:eastAsia="en-US"/>
        </w:rPr>
        <w:t>Encerrada a análise quanto à aceitação da proposta, se iniciará a fase de habilitação, observado o disposto neste Aviso de Contratação Direta. </w:t>
      </w:r>
    </w:p>
    <w:p>
      <w:pPr>
        <w:pStyle w:val="PADRO"/>
        <w:keepNext w:val="false"/>
        <w:widowControl/>
        <w:numPr>
          <w:ilvl w:val="0"/>
          <w:numId w:val="1"/>
        </w:numPr>
        <w:shd w:val="clear" w:fill="FFFFFF"/>
        <w:spacing w:before="120" w:after="120"/>
        <w:rPr>
          <w:rFonts w:ascii="Arial" w:hAnsi="Arial" w:cs="Arial"/>
          <w:b/>
          <w:b/>
        </w:rPr>
      </w:pPr>
      <w:r>
        <w:rPr>
          <w:rFonts w:cs="Arial" w:ascii="Arial" w:hAnsi="Arial"/>
          <w:b/>
        </w:rPr>
        <w:t>HABILITAÇÃO</w:t>
      </w:r>
    </w:p>
    <w:p>
      <w:pPr>
        <w:pStyle w:val="ListParagraph"/>
        <w:numPr>
          <w:ilvl w:val="1"/>
          <w:numId w:val="1"/>
        </w:numPr>
        <w:spacing w:lineRule="auto" w:line="276" w:before="120" w:after="120"/>
        <w:ind w:left="792" w:right="0" w:hanging="574"/>
        <w:contextualSpacing/>
        <w:jc w:val="both"/>
        <w:rPr/>
      </w:pPr>
      <w:r>
        <w:rPr>
          <w:rFonts w:cs="Arial"/>
          <w:szCs w:val="20"/>
          <w:lang w:eastAsia="ar-SA"/>
        </w:rPr>
        <w:t xml:space="preserve">Os </w:t>
      </w:r>
      <w:r>
        <w:rPr>
          <w:rFonts w:cs="Arial"/>
          <w:color w:val="000000"/>
          <w:szCs w:val="20"/>
        </w:rPr>
        <w:t>documentos</w:t>
      </w:r>
      <w:r>
        <w:rPr>
          <w:rFonts w:cs="Arial"/>
          <w:szCs w:val="20"/>
          <w:lang w:eastAsia="ar-SA"/>
        </w:rPr>
        <w:t xml:space="preserve"> a serem exigidos para fins de habilitação constam do </w:t>
      </w:r>
      <w:r>
        <w:rPr>
          <w:rFonts w:cs="Arial"/>
          <w:b/>
          <w:szCs w:val="20"/>
          <w:lang w:eastAsia="ar-SA"/>
        </w:rPr>
        <w:t xml:space="preserve">ANEXO I – DOCUMENTAÇÃO EXIGIDA PARA HABILITAÇÃO </w:t>
      </w:r>
      <w:r>
        <w:rPr>
          <w:rFonts w:cs="Arial"/>
          <w:szCs w:val="20"/>
          <w:lang w:eastAsia="ar-SA"/>
        </w:rPr>
        <w:t>deste aviso e serão solicitados do fornecedor mais bem classificado da fase de lances.</w:t>
      </w:r>
    </w:p>
    <w:p>
      <w:pPr>
        <w:pStyle w:val="ListParagraph"/>
        <w:numPr>
          <w:ilvl w:val="1"/>
          <w:numId w:val="1"/>
        </w:numPr>
        <w:spacing w:lineRule="auto" w:line="276" w:before="120" w:after="120"/>
        <w:ind w:left="792" w:right="0" w:hanging="574"/>
        <w:contextualSpacing/>
        <w:jc w:val="both"/>
        <w:rPr/>
      </w:pPr>
      <w:r>
        <w:rPr>
          <w:rFonts w:cs="Arial"/>
          <w:szCs w:val="20"/>
          <w:lang w:eastAsia="ar-SA"/>
        </w:rPr>
        <w:t xml:space="preserve">Como </w:t>
      </w:r>
      <w:r>
        <w:rPr>
          <w:rFonts w:cs="Arial"/>
          <w:color w:val="000000"/>
          <w:szCs w:val="20"/>
        </w:rPr>
        <w:t>condição</w:t>
      </w:r>
      <w:r>
        <w:rPr>
          <w:rFonts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ListParagraph"/>
        <w:spacing w:lineRule="auto" w:line="276" w:before="120" w:after="120"/>
        <w:ind w:left="1134" w:right="0" w:hanging="0"/>
        <w:contextualSpacing/>
        <w:jc w:val="both"/>
        <w:rPr>
          <w:rFonts w:cs="Arial"/>
          <w:szCs w:val="20"/>
          <w:lang w:eastAsia="ar-SA"/>
        </w:rPr>
      </w:pPr>
      <w:r>
        <w:rPr>
          <w:rFonts w:cs="Arial"/>
          <w:szCs w:val="20"/>
          <w:lang w:eastAsia="ar-SA"/>
        </w:rPr>
        <w:t xml:space="preserve">a) SICAF;  </w:t>
      </w:r>
    </w:p>
    <w:p>
      <w:pPr>
        <w:pStyle w:val="ListParagraph"/>
        <w:spacing w:lineRule="auto" w:line="276" w:before="120" w:after="120"/>
        <w:ind w:left="1134" w:right="0" w:hanging="0"/>
        <w:contextualSpacing/>
        <w:jc w:val="both"/>
        <w:rPr/>
      </w:pPr>
      <w:r>
        <w:rPr>
          <w:rFonts w:cs="Arial"/>
          <w:szCs w:val="20"/>
          <w:lang w:eastAsia="ar-SA"/>
        </w:rPr>
        <w:t>b) Cadastro Nacional de Empresas Inidôneas e Suspensas - CEIS, mantido pela Controladoria-Geral da União (</w:t>
      </w:r>
      <w:hyperlink r:id="rId4">
        <w:r>
          <w:rPr>
            <w:rStyle w:val="LinkdaInternet"/>
            <w:rFonts w:eastAsia="Calibri" w:cs="Arial"/>
            <w:lang w:eastAsia="ar-SA"/>
          </w:rPr>
          <w:t>www.portaldatransparencia.gov.br/ceis</w:t>
        </w:r>
      </w:hyperlink>
      <w:r>
        <w:rPr>
          <w:rFonts w:cs="Arial"/>
          <w:szCs w:val="20"/>
          <w:lang w:eastAsia="ar-SA"/>
        </w:rPr>
        <w:t xml:space="preserve">);  </w:t>
      </w:r>
    </w:p>
    <w:p>
      <w:pPr>
        <w:pStyle w:val="ListParagraph"/>
        <w:spacing w:lineRule="auto" w:line="276" w:before="120" w:after="120"/>
        <w:ind w:left="1134" w:right="0" w:hanging="0"/>
        <w:contextualSpacing/>
        <w:jc w:val="both"/>
        <w:rPr/>
      </w:pPr>
      <w:r>
        <w:rPr>
          <w:rFonts w:cs="Arial"/>
          <w:szCs w:val="20"/>
          <w:lang w:eastAsia="ar-SA"/>
        </w:rPr>
        <w:t>c) Cadastro Nacional de Condenações Cíveis por Atos de Improbidade Administrativa, mantido pelo Conselho Nacional de Justiça (</w:t>
      </w:r>
      <w:hyperlink r:id="rId5">
        <w:r>
          <w:rPr>
            <w:rStyle w:val="LinkdaInternet"/>
            <w:rFonts w:eastAsia="Calibri" w:cs="Arial"/>
            <w:lang w:eastAsia="ar-SA"/>
          </w:rPr>
          <w:t>www.cnj.jus.br/improbidade_adm/consultar_requerido.php</w:t>
        </w:r>
      </w:hyperlink>
      <w:r>
        <w:rPr>
          <w:rFonts w:cs="Arial"/>
          <w:szCs w:val="20"/>
          <w:lang w:eastAsia="ar-SA"/>
        </w:rPr>
        <w:t xml:space="preserve">).  </w:t>
      </w:r>
    </w:p>
    <w:p>
      <w:pPr>
        <w:pStyle w:val="ListParagraph"/>
        <w:spacing w:lineRule="auto" w:line="276" w:before="120" w:after="120"/>
        <w:ind w:left="1134" w:right="0" w:hanging="0"/>
        <w:contextualSpacing/>
        <w:jc w:val="both"/>
        <w:rPr>
          <w:rFonts w:cs="Arial"/>
          <w:szCs w:val="20"/>
          <w:lang w:eastAsia="ar-SA"/>
        </w:rPr>
      </w:pPr>
      <w:r>
        <w:rPr>
          <w:rFonts w:cs="Arial"/>
          <w:szCs w:val="20"/>
          <w:lang w:eastAsia="ar-SA"/>
        </w:rPr>
        <w:t xml:space="preserve">d) Lista de Inidôneos mantida pelo Tribunal de Contas da União - TCU; </w:t>
      </w:r>
    </w:p>
    <w:p>
      <w:pPr>
        <w:pStyle w:val="ListParagraph"/>
        <w:numPr>
          <w:ilvl w:val="2"/>
          <w:numId w:val="1"/>
        </w:numPr>
        <w:spacing w:lineRule="auto" w:line="276" w:before="120" w:after="120"/>
        <w:contextualSpacing/>
        <w:jc w:val="both"/>
        <w:rPr/>
      </w:pPr>
      <w:r>
        <w:rPr>
          <w:rFonts w:cs="Arial"/>
          <w:szCs w:val="20"/>
          <w:lang w:eastAsia="ar-SA"/>
        </w:rPr>
        <w:t xml:space="preserve">Para a consulta de </w:t>
      </w:r>
      <w:r>
        <w:rPr>
          <w:rFonts w:cs="Arial"/>
          <w:color w:val="000000"/>
          <w:szCs w:val="20"/>
        </w:rPr>
        <w:t>fornecedores</w:t>
      </w:r>
      <w:r>
        <w:rPr>
          <w:rFonts w:cs="Arial"/>
          <w:szCs w:val="20"/>
          <w:lang w:eastAsia="ar-SA"/>
        </w:rPr>
        <w:t xml:space="preserve"> pessoa jurídica poderá haver a substituição das consultas das alíneas “b”, “c” e “d” acima pela Consulta Consolidada de Pessoa Jurídica do TCU (https://certidoesapf.apps.tcu.gov.br/)</w:t>
      </w:r>
    </w:p>
    <w:p>
      <w:pPr>
        <w:pStyle w:val="ListParagraph"/>
        <w:numPr>
          <w:ilvl w:val="2"/>
          <w:numId w:val="1"/>
        </w:numPr>
        <w:spacing w:lineRule="auto" w:line="276" w:before="120" w:after="120"/>
        <w:contextualSpacing/>
        <w:jc w:val="both"/>
        <w:rPr/>
      </w:pPr>
      <w:r>
        <w:rPr>
          <w:rFonts w:cs="Arial"/>
          <w:color w:val="000000"/>
          <w:szCs w:val="20"/>
        </w:rPr>
        <w:t xml:space="preserve">A consulta aos </w:t>
      </w:r>
      <w:r>
        <w:rPr>
          <w:rFonts w:cs="Arial"/>
          <w:szCs w:val="20"/>
          <w:lang w:eastAsia="ar-SA"/>
        </w:rPr>
        <w:t>cadastros</w:t>
      </w:r>
      <w:r>
        <w:rPr>
          <w:rFonts w:cs="Arial"/>
          <w:color w:val="000000"/>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numPr>
          <w:ilvl w:val="3"/>
          <w:numId w:val="1"/>
        </w:numPr>
        <w:spacing w:lineRule="auto" w:line="276" w:before="120" w:after="120"/>
        <w:contextualSpacing/>
        <w:jc w:val="both"/>
        <w:rPr>
          <w:rFonts w:cs="Arial"/>
          <w:color w:val="000000"/>
          <w:szCs w:val="20"/>
        </w:rPr>
      </w:pPr>
      <w:r>
        <w:rPr>
          <w:rFonts w:cs="Arial"/>
          <w:color w:val="000000"/>
          <w:szCs w:val="20"/>
        </w:rPr>
        <w:t>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numPr>
          <w:ilvl w:val="4"/>
          <w:numId w:val="1"/>
        </w:numPr>
        <w:spacing w:lineRule="auto" w:line="276" w:before="120" w:after="120"/>
        <w:contextualSpacing/>
        <w:jc w:val="both"/>
        <w:rPr>
          <w:rFonts w:cs="Arial"/>
          <w:color w:val="000000"/>
          <w:szCs w:val="20"/>
        </w:rPr>
      </w:pPr>
      <w:r>
        <w:rPr>
          <w:rFonts w:cs="Arial"/>
          <w:color w:val="000000"/>
          <w:szCs w:val="20"/>
        </w:rPr>
        <w:t>A tentativa de burla será verificada por meio dos vínculos societários, linhas de fornecimento similares, dentre outros.</w:t>
      </w:r>
    </w:p>
    <w:p>
      <w:pPr>
        <w:pStyle w:val="ListParagraph"/>
        <w:numPr>
          <w:ilvl w:val="4"/>
          <w:numId w:val="1"/>
        </w:numPr>
        <w:spacing w:lineRule="auto" w:line="276" w:before="120" w:after="120"/>
        <w:contextualSpacing/>
        <w:jc w:val="both"/>
        <w:rPr>
          <w:rFonts w:cs="Arial"/>
          <w:color w:val="000000"/>
          <w:szCs w:val="20"/>
        </w:rPr>
      </w:pPr>
      <w:r>
        <w:rPr>
          <w:rFonts w:cs="Arial"/>
          <w:color w:val="000000"/>
          <w:szCs w:val="20"/>
        </w:rPr>
        <w:t>O fornecedor será convocado para manifestação previamente à sua desclassificação</w:t>
      </w:r>
    </w:p>
    <w:p>
      <w:pPr>
        <w:pStyle w:val="ListParagraph"/>
        <w:numPr>
          <w:ilvl w:val="2"/>
          <w:numId w:val="1"/>
        </w:numPr>
        <w:spacing w:lineRule="auto" w:line="276" w:before="120" w:after="120"/>
        <w:contextualSpacing/>
        <w:jc w:val="both"/>
        <w:rPr>
          <w:rFonts w:cs="Arial"/>
          <w:color w:val="000000"/>
          <w:szCs w:val="20"/>
        </w:rPr>
      </w:pPr>
      <w:r>
        <w:rPr>
          <w:rFonts w:cs="Arial"/>
          <w:color w:val="000000"/>
          <w:szCs w:val="20"/>
        </w:rPr>
        <w:t>Constatada a existência de sanção, o fornecedor será reputado inabilitado, por falta de condição de participação.</w:t>
      </w:r>
    </w:p>
    <w:p>
      <w:pPr>
        <w:pStyle w:val="ListParagraph"/>
        <w:numPr>
          <w:ilvl w:val="1"/>
          <w:numId w:val="1"/>
        </w:numPr>
        <w:spacing w:lineRule="auto" w:line="276" w:before="120" w:after="120"/>
        <w:ind w:left="792" w:right="0" w:hanging="574"/>
        <w:contextualSpacing/>
        <w:jc w:val="both"/>
        <w:rPr/>
      </w:pPr>
      <w:r>
        <w:rPr>
          <w:rFonts w:cs="Arial"/>
          <w:color w:val="000000"/>
          <w:szCs w:val="20"/>
        </w:rPr>
        <w:t xml:space="preserve">Caso atendidas as condições de participação, </w:t>
      </w:r>
      <w:r>
        <w:rPr>
          <w:rFonts w:cs="Arial"/>
          <w:szCs w:val="20"/>
        </w:rPr>
        <w:t>a habilitação dos fornecedores será verificada por meio do SICAF, nos documentos por ele abrangidos</w:t>
      </w:r>
      <w:r>
        <w:rPr>
          <w:rFonts w:cs="Arial"/>
          <w:color w:val="000000"/>
          <w:szCs w:val="20"/>
        </w:rPr>
        <w:t>.</w:t>
      </w:r>
    </w:p>
    <w:p>
      <w:pPr>
        <w:pStyle w:val="ListParagraph"/>
        <w:numPr>
          <w:ilvl w:val="2"/>
          <w:numId w:val="1"/>
        </w:numPr>
        <w:spacing w:lineRule="auto" w:line="276" w:before="120" w:after="120"/>
        <w:contextualSpacing/>
        <w:jc w:val="both"/>
        <w:rPr>
          <w:rFonts w:cs="Arial"/>
          <w:color w:val="000000"/>
          <w:szCs w:val="20"/>
        </w:rPr>
      </w:pPr>
      <w:r>
        <w:rPr>
          <w:rFonts w:cs="Arial"/>
          <w:color w:val="000000"/>
          <w:szCs w:val="20"/>
        </w:rPr>
        <w:t>É dever do fornecedor atualizar previamente as comprovações constantes do SICAF para que estejam vigentes na data da abertura da sessão pública, ou encaminhar, quando solicitado, a respectiva documentação atualizada.</w:t>
      </w:r>
    </w:p>
    <w:p>
      <w:pPr>
        <w:pStyle w:val="ListParagraph"/>
        <w:numPr>
          <w:ilvl w:val="2"/>
          <w:numId w:val="1"/>
        </w:numPr>
        <w:spacing w:lineRule="auto" w:line="276" w:before="120" w:after="120"/>
        <w:contextualSpacing/>
        <w:jc w:val="both"/>
        <w:rPr>
          <w:rFonts w:cs="Arial"/>
          <w:color w:val="000000"/>
          <w:szCs w:val="20"/>
        </w:rPr>
      </w:pPr>
      <w:r>
        <w:rPr>
          <w:rFonts w:cs="Arial"/>
          <w:color w:val="000000"/>
          <w:szCs w:val="20"/>
        </w:rPr>
        <w:t>O descumprimento do subitem acima implicará a inabilitação do fornecedor, exceto se a consulta aos sítios eletrônicos oficiais emissores de certidões lograr êxito em encontrar a(s) certidão(ões) válida(s).</w:t>
      </w:r>
    </w:p>
    <w:p>
      <w:pPr>
        <w:pStyle w:val="ListParagraph"/>
        <w:numPr>
          <w:ilvl w:val="1"/>
          <w:numId w:val="1"/>
        </w:numPr>
        <w:spacing w:lineRule="auto" w:line="276" w:before="120" w:after="120"/>
        <w:ind w:left="792" w:right="0" w:hanging="574"/>
        <w:contextualSpacing/>
        <w:jc w:val="both"/>
        <w:rPr>
          <w:rFonts w:cs="Arial"/>
          <w:color w:val="000000"/>
          <w:szCs w:val="20"/>
        </w:rPr>
      </w:pPr>
      <w:r>
        <w:rPr>
          <w:rFonts w:cs="Arial"/>
          <w:color w:val="000000"/>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ListParagraph"/>
        <w:numPr>
          <w:ilvl w:val="1"/>
          <w:numId w:val="1"/>
        </w:numPr>
        <w:spacing w:lineRule="auto" w:line="276" w:before="120" w:after="120"/>
        <w:ind w:left="792" w:right="0" w:hanging="574"/>
        <w:contextualSpacing/>
        <w:jc w:val="both"/>
        <w:rPr>
          <w:rFonts w:cs="Arial"/>
          <w:color w:val="000000"/>
          <w:szCs w:val="20"/>
        </w:rPr>
      </w:pPr>
      <w:r>
        <w:rPr>
          <w:rFonts w:cs="Arial"/>
          <w:color w:val="000000"/>
          <w:szCs w:val="20"/>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1"/>
        </w:numPr>
        <w:spacing w:lineRule="auto" w:line="276" w:before="120" w:after="120"/>
        <w:ind w:left="792" w:right="0" w:hanging="574"/>
        <w:contextualSpacing/>
        <w:jc w:val="both"/>
        <w:rPr>
          <w:rFonts w:cs="Arial"/>
          <w:bCs/>
          <w:szCs w:val="20"/>
        </w:rPr>
      </w:pPr>
      <w:r>
        <w:rPr>
          <w:rFonts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1"/>
        </w:numPr>
        <w:spacing w:lineRule="auto" w:line="276" w:before="120" w:after="120"/>
        <w:ind w:left="792" w:right="0" w:hanging="574"/>
        <w:contextualSpacing/>
        <w:jc w:val="both"/>
        <w:rPr/>
      </w:pPr>
      <w:r>
        <w:rPr>
          <w:rFonts w:cs="Arial"/>
          <w:bCs/>
          <w:szCs w:val="20"/>
        </w:rPr>
        <w:t xml:space="preserve">Havendo </w:t>
      </w:r>
      <w:r>
        <w:rPr>
          <w:rFonts w:cs="Arial"/>
          <w:iCs/>
          <w:lang w:eastAsia="en-US"/>
        </w:rPr>
        <w:t>necessidade</w:t>
      </w:r>
      <w:r>
        <w:rPr>
          <w:rFonts w:cs="Arial"/>
          <w:bCs/>
          <w:szCs w:val="20"/>
        </w:rPr>
        <w:t xml:space="preserve"> de analisar minuciosamente os documentos exigidos, a sessão será suspensa, sendo informada a nova data e horário para a sua continuidade.</w:t>
      </w:r>
    </w:p>
    <w:p>
      <w:pPr>
        <w:pStyle w:val="ListParagraph"/>
        <w:numPr>
          <w:ilvl w:val="1"/>
          <w:numId w:val="1"/>
        </w:numPr>
        <w:spacing w:lineRule="auto" w:line="276" w:before="120" w:after="120"/>
        <w:ind w:left="792" w:right="0" w:hanging="574"/>
        <w:contextualSpacing/>
        <w:jc w:val="both"/>
        <w:rPr/>
      </w:pPr>
      <w:r>
        <w:rPr>
          <w:rFonts w:cs="Arial"/>
          <w:color w:val="000000"/>
          <w:szCs w:val="20"/>
        </w:rPr>
        <w:t xml:space="preserve">Será inabilitado o fornecedor que não comprovar sua habilitação, seja por não apresentar </w:t>
      </w:r>
      <w:r>
        <w:rPr>
          <w:rFonts w:cs="Arial"/>
          <w:iCs/>
          <w:lang w:eastAsia="en-US"/>
        </w:rPr>
        <w:t>quaisquer</w:t>
      </w:r>
      <w:r>
        <w:rPr>
          <w:rFonts w:cs="Arial"/>
          <w:color w:val="000000"/>
          <w:szCs w:val="20"/>
        </w:rPr>
        <w:t xml:space="preserve"> dos </w:t>
      </w:r>
      <w:r>
        <w:rPr>
          <w:rFonts w:cs="Arial"/>
          <w:bCs/>
          <w:szCs w:val="20"/>
        </w:rPr>
        <w:t>documentos</w:t>
      </w:r>
      <w:r>
        <w:rPr>
          <w:rFonts w:cs="Arial"/>
          <w:color w:val="000000"/>
          <w:szCs w:val="20"/>
        </w:rPr>
        <w:t xml:space="preserve"> exigidos, ou apresentá-los em desacordo com o estabelecido neste Aviso de Contratação Direta.</w:t>
      </w:r>
    </w:p>
    <w:p>
      <w:pPr>
        <w:pStyle w:val="ListParagraph"/>
        <w:numPr>
          <w:ilvl w:val="2"/>
          <w:numId w:val="1"/>
        </w:numPr>
        <w:spacing w:lineRule="auto" w:line="276" w:before="120" w:after="120"/>
        <w:contextualSpacing/>
        <w:jc w:val="both"/>
        <w:rPr>
          <w:rFonts w:cs="Arial"/>
          <w:color w:val="000000"/>
          <w:szCs w:val="20"/>
        </w:rPr>
      </w:pPr>
      <w:r>
        <w:rPr>
          <w:rFonts w:cs="Arial"/>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ListParagraph"/>
        <w:numPr>
          <w:ilvl w:val="1"/>
          <w:numId w:val="1"/>
        </w:numPr>
        <w:spacing w:lineRule="auto" w:line="276" w:before="120" w:after="120"/>
        <w:ind w:left="792" w:right="0" w:hanging="574"/>
        <w:contextualSpacing/>
        <w:jc w:val="both"/>
        <w:rPr>
          <w:rFonts w:cs="Arial"/>
          <w:iCs/>
          <w:lang w:eastAsia="en-US"/>
        </w:rPr>
      </w:pPr>
      <w:r>
        <w:rPr>
          <w:rFonts w:cs="Arial"/>
          <w:iCs/>
          <w:lang w:eastAsia="en-US"/>
        </w:rPr>
        <w:t>Constatado o atendimento às exigências de habilitação, o fornecedor será habilitado</w:t>
      </w:r>
    </w:p>
    <w:p>
      <w:pPr>
        <w:pStyle w:val="PADRO"/>
        <w:keepNext w:val="false"/>
        <w:widowControl/>
        <w:numPr>
          <w:ilvl w:val="0"/>
          <w:numId w:val="1"/>
        </w:numPr>
        <w:shd w:val="clear" w:fill="FFFFFF"/>
        <w:spacing w:before="120" w:after="120"/>
        <w:rPr>
          <w:rFonts w:ascii="Arial" w:hAnsi="Arial" w:cs="Arial"/>
          <w:b/>
          <w:b/>
        </w:rPr>
      </w:pPr>
      <w:r>
        <w:rPr>
          <w:rFonts w:cs="Arial" w:ascii="Arial" w:hAnsi="Arial"/>
          <w:b/>
        </w:rPr>
        <w:t>CONTRATAÇÃO</w:t>
      </w:r>
    </w:p>
    <w:p>
      <w:pPr>
        <w:pStyle w:val="Normal"/>
        <w:numPr>
          <w:ilvl w:val="1"/>
          <w:numId w:val="1"/>
        </w:numPr>
        <w:spacing w:lineRule="auto" w:line="276" w:before="120" w:after="120"/>
        <w:ind w:left="425" w:right="0" w:hanging="0"/>
        <w:jc w:val="both"/>
        <w:rPr>
          <w:rFonts w:eastAsia="Arial" w:cs="Arial"/>
          <w:color w:val="000000"/>
          <w:szCs w:val="20"/>
        </w:rPr>
      </w:pPr>
      <w:r>
        <w:rPr>
          <w:rFonts w:eastAsia="Arial" w:cs="Arial"/>
          <w:color w:val="000000"/>
          <w:szCs w:val="20"/>
        </w:rPr>
        <w:t>Após a homologação e adjudicação, caso se conclua pela contratação, será firmado Termo de Contrato ou emitido instrumento equivalente.</w:t>
      </w:r>
    </w:p>
    <w:p>
      <w:pPr>
        <w:pStyle w:val="Normal"/>
        <w:numPr>
          <w:ilvl w:val="1"/>
          <w:numId w:val="1"/>
        </w:numPr>
        <w:spacing w:lineRule="auto" w:line="276" w:before="120" w:after="120"/>
        <w:ind w:left="425" w:right="0" w:hanging="0"/>
        <w:jc w:val="both"/>
        <w:rPr>
          <w:rFonts w:eastAsia="Arial" w:cs="Arial"/>
          <w:color w:val="000000"/>
          <w:szCs w:val="20"/>
        </w:rPr>
      </w:pPr>
      <w:r>
        <w:rPr>
          <w:rFonts w:eastAsia="Arial" w:cs="Arial"/>
          <w:color w:val="000000"/>
          <w:szCs w:val="20"/>
        </w:rPr>
        <w:t xml:space="preserve">O adjudicatário terá o prazo de 30 (trinta) dias úteis, contados a partir da data de sua convocação, para assinar o Termo de Contrato ou aceitar instrumento equivalente, conforme o caso (Nota de Empenho/Carta Contrato/Autorização), sob pena de decair do direito à contratação, sem prejuízo das sanções previstas neste Aviso de Contratação Direta. </w:t>
      </w:r>
    </w:p>
    <w:p>
      <w:pPr>
        <w:pStyle w:val="Normal"/>
        <w:numPr>
          <w:ilvl w:val="2"/>
          <w:numId w:val="1"/>
        </w:numPr>
        <w:spacing w:lineRule="auto" w:line="276" w:before="120" w:after="120"/>
        <w:jc w:val="both"/>
        <w:rPr>
          <w:rFonts w:eastAsia="Arial" w:cs="Arial"/>
          <w:color w:val="000000"/>
          <w:szCs w:val="20"/>
        </w:rPr>
      </w:pPr>
      <w:r>
        <w:rPr>
          <w:rFonts w:eastAsia="Arial" w:cs="Arial"/>
          <w:color w:val="000000"/>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05(cinco) dias úteis, a contar da data de seu recebimento. </w:t>
      </w:r>
    </w:p>
    <w:p>
      <w:pPr>
        <w:pStyle w:val="Normal"/>
        <w:numPr>
          <w:ilvl w:val="2"/>
          <w:numId w:val="1"/>
        </w:numPr>
        <w:spacing w:lineRule="auto" w:line="276" w:before="120" w:after="120"/>
        <w:jc w:val="both"/>
        <w:rPr/>
      </w:pPr>
      <w:r>
        <w:rPr>
          <w:rFonts w:eastAsia="Arial" w:cs="Arial"/>
          <w:color w:val="000000"/>
          <w:szCs w:val="20"/>
        </w:rPr>
        <w:t xml:space="preserve">O prazo previsto para assinatura do contrato ou aceitação da nota de empenho ou instrumento equivalente poderá ser prorrogado </w:t>
      </w:r>
      <w:r>
        <w:rPr>
          <w:rFonts w:cs="Times New Roman"/>
          <w:bCs/>
        </w:rPr>
        <w:t>1 (uma) vez</w:t>
      </w:r>
      <w:r>
        <w:rPr>
          <w:rFonts w:eastAsia="Arial" w:cs="Arial"/>
          <w:szCs w:val="20"/>
        </w:rPr>
        <w:t xml:space="preserve">, </w:t>
      </w:r>
      <w:r>
        <w:rPr>
          <w:rFonts w:eastAsia="Arial" w:cs="Arial"/>
          <w:color w:val="000000"/>
          <w:szCs w:val="20"/>
        </w:rPr>
        <w:t>por igual período, por solicitação justificada do adjudicatário e aceita pela Administração.</w:t>
      </w:r>
    </w:p>
    <w:p>
      <w:pPr>
        <w:pStyle w:val="Normal"/>
        <w:numPr>
          <w:ilvl w:val="1"/>
          <w:numId w:val="1"/>
        </w:numPr>
        <w:spacing w:lineRule="auto" w:line="276" w:before="120" w:after="120"/>
        <w:ind w:left="425" w:right="0" w:hanging="0"/>
        <w:jc w:val="both"/>
        <w:rPr>
          <w:rFonts w:eastAsia="Arial" w:cs="Arial"/>
          <w:color w:val="000000"/>
          <w:szCs w:val="20"/>
        </w:rPr>
      </w:pPr>
      <w:r>
        <w:rPr>
          <w:rFonts w:eastAsia="Arial" w:cs="Arial"/>
          <w:color w:val="000000"/>
          <w:szCs w:val="20"/>
        </w:rPr>
        <w:t>O Aceite da Nota de Empenho ou do instrumento equivalente, emitida à empresa adjudicada, implica no reconhecimento de que:</w:t>
      </w:r>
    </w:p>
    <w:p>
      <w:pPr>
        <w:pStyle w:val="Normal"/>
        <w:numPr>
          <w:ilvl w:val="2"/>
          <w:numId w:val="1"/>
        </w:numPr>
        <w:spacing w:lineRule="auto" w:line="276" w:before="120" w:after="120"/>
        <w:jc w:val="both"/>
        <w:rPr>
          <w:rFonts w:eastAsia="Arial" w:cs="Arial"/>
          <w:color w:val="000000"/>
          <w:szCs w:val="20"/>
        </w:rPr>
      </w:pPr>
      <w:r>
        <w:rPr>
          <w:rFonts w:eastAsia="Arial" w:cs="Arial"/>
          <w:color w:val="000000"/>
          <w:szCs w:val="20"/>
        </w:rPr>
        <w:t>referida Nota está substituindo o contrato, aplicando-se à relação de negócios ali estabelecida as disposições da Lei nº 14.133, de 2021;</w:t>
      </w:r>
    </w:p>
    <w:p>
      <w:pPr>
        <w:pStyle w:val="Normal"/>
        <w:numPr>
          <w:ilvl w:val="2"/>
          <w:numId w:val="1"/>
        </w:numPr>
        <w:spacing w:lineRule="auto" w:line="276" w:before="120" w:after="120"/>
        <w:jc w:val="both"/>
        <w:rPr>
          <w:rFonts w:eastAsia="Arial" w:cs="Arial"/>
          <w:color w:val="000000"/>
          <w:szCs w:val="20"/>
        </w:rPr>
      </w:pPr>
      <w:r>
        <w:rPr>
          <w:rFonts w:eastAsia="Arial" w:cs="Arial"/>
          <w:color w:val="000000"/>
          <w:szCs w:val="20"/>
        </w:rPr>
        <w:t>a contratada se vincula à sua proposta e às previsões contidas no Aviso de Contratação Direta e seus anexos;</w:t>
      </w:r>
    </w:p>
    <w:p>
      <w:pPr>
        <w:pStyle w:val="Normal"/>
        <w:numPr>
          <w:ilvl w:val="2"/>
          <w:numId w:val="1"/>
        </w:numPr>
        <w:spacing w:lineRule="auto" w:line="276" w:before="120" w:after="120"/>
        <w:jc w:val="both"/>
        <w:rPr>
          <w:rFonts w:eastAsia="Arial" w:cs="Arial"/>
          <w:color w:val="000000"/>
          <w:szCs w:val="20"/>
        </w:rPr>
      </w:pPr>
      <w:r>
        <w:rPr>
          <w:rFonts w:eastAsia="Arial" w:cs="Arial"/>
          <w:color w:val="000000"/>
          <w:szCs w:val="20"/>
        </w:rPr>
        <w:t>a contratada reconhece que as hipóteses de rescisão são aquelas previstas nos artigos 137 e 138 da Lei nº 14.133/21 e reconhece os direitos da Administração previstos nos artigos 137 a 139 da mesma Lei.</w:t>
      </w:r>
    </w:p>
    <w:p>
      <w:pPr>
        <w:pStyle w:val="Normal"/>
        <w:numPr>
          <w:ilvl w:val="1"/>
          <w:numId w:val="1"/>
        </w:numPr>
        <w:spacing w:lineRule="auto" w:line="276" w:before="120" w:after="120"/>
        <w:ind w:left="425" w:right="0" w:hanging="0"/>
        <w:jc w:val="both"/>
        <w:rPr>
          <w:rFonts w:eastAsia="Arial" w:cs="Arial"/>
          <w:color w:val="000000"/>
          <w:szCs w:val="20"/>
        </w:rPr>
      </w:pPr>
      <w:r>
        <w:rPr>
          <w:rFonts w:eastAsia="Arial" w:cs="Arial"/>
          <w:color w:val="000000"/>
          <w:szCs w:val="20"/>
        </w:rPr>
        <w:t>O prazo de vigência da contratação é até 31 de dezembro de 2022, prorrogável conforme previsão nos anexos a este Aviso de Contratação Direta.</w:t>
      </w:r>
    </w:p>
    <w:p>
      <w:pPr>
        <w:pStyle w:val="Normal"/>
        <w:numPr>
          <w:ilvl w:val="1"/>
          <w:numId w:val="1"/>
        </w:numPr>
        <w:spacing w:lineRule="auto" w:line="276" w:before="120" w:after="120"/>
        <w:ind w:left="425" w:right="0" w:hanging="0"/>
        <w:jc w:val="both"/>
        <w:rPr>
          <w:rFonts w:cs="Arial"/>
          <w:color w:val="000000"/>
          <w:szCs w:val="20"/>
        </w:rPr>
      </w:pPr>
      <w:r>
        <w:rPr>
          <w:rFonts w:cs="Arial"/>
          <w:color w:val="000000"/>
          <w:szCs w:val="20"/>
        </w:rPr>
        <w:t>Na assinatura do contrato ou do instrumento equivalente será exigida a comprovação das condições de habilitação e contratação consignadas neste aviso, que deverão ser mantidas pelo fornecedor durante a vigência do contrato.</w:t>
      </w:r>
    </w:p>
    <w:p>
      <w:pPr>
        <w:pStyle w:val="PADRO"/>
        <w:keepNext w:val="false"/>
        <w:widowControl/>
        <w:numPr>
          <w:ilvl w:val="0"/>
          <w:numId w:val="1"/>
        </w:numPr>
        <w:shd w:val="clear" w:fill="FFFFFF"/>
        <w:spacing w:before="120" w:after="120"/>
        <w:rPr>
          <w:rFonts w:ascii="Arial" w:hAnsi="Arial" w:cs="Arial"/>
          <w:b/>
          <w:b/>
        </w:rPr>
      </w:pPr>
      <w:r>
        <w:rPr>
          <w:rFonts w:cs="Arial" w:ascii="Arial" w:hAnsi="Arial"/>
          <w:b/>
        </w:rPr>
        <w:t>SANÇÕES</w:t>
      </w:r>
    </w:p>
    <w:p>
      <w:pPr>
        <w:pStyle w:val="Normal"/>
        <w:numPr>
          <w:ilvl w:val="1"/>
          <w:numId w:val="1"/>
        </w:numPr>
        <w:spacing w:lineRule="auto" w:line="276" w:before="120" w:after="120"/>
        <w:ind w:left="425" w:right="0" w:hanging="0"/>
        <w:jc w:val="both"/>
        <w:rPr>
          <w:rFonts w:cs="Arial"/>
        </w:rPr>
      </w:pPr>
      <w:r>
        <w:rPr>
          <w:rFonts w:cs="Arial"/>
        </w:rPr>
        <w:t xml:space="preserve">Comete infração administrativa o fornecedor que cometer quaisquer das infrações previstas no art. 155 da Lei nº 14.133, de 2021, quais sejam: </w:t>
      </w:r>
    </w:p>
    <w:p>
      <w:pPr>
        <w:pStyle w:val="Normal"/>
        <w:numPr>
          <w:ilvl w:val="2"/>
          <w:numId w:val="1"/>
        </w:numPr>
        <w:spacing w:lineRule="auto" w:line="276" w:before="120" w:after="120"/>
        <w:jc w:val="both"/>
        <w:rPr/>
      </w:pPr>
      <w:r>
        <w:rPr>
          <w:rFonts w:cs="Arial"/>
          <w:color w:val="000000"/>
          <w:szCs w:val="20"/>
        </w:rPr>
        <w:t>dar causa à inexecução parcial do contrato</w:t>
      </w:r>
      <w:r>
        <w:rPr>
          <w:rFonts w:cs="Arial"/>
        </w:rPr>
        <w:t>;</w:t>
      </w:r>
    </w:p>
    <w:p>
      <w:pPr>
        <w:pStyle w:val="Normal"/>
        <w:numPr>
          <w:ilvl w:val="2"/>
          <w:numId w:val="1"/>
        </w:numPr>
        <w:spacing w:lineRule="auto" w:line="276" w:before="120" w:after="120"/>
        <w:jc w:val="both"/>
        <w:rPr>
          <w:rFonts w:cs="Arial"/>
          <w:color w:val="000000"/>
          <w:szCs w:val="20"/>
        </w:rPr>
      </w:pPr>
      <w:r>
        <w:rPr>
          <w:rFonts w:cs="Arial"/>
          <w:color w:val="000000"/>
          <w:szCs w:val="20"/>
        </w:rPr>
        <w:t>dar causa à inexecução parcial do contrato que cause grave dano à Administração, ao funcionamento dos serviços públicos ou ao interesse coletivo;</w:t>
      </w:r>
    </w:p>
    <w:p>
      <w:pPr>
        <w:pStyle w:val="Normal"/>
        <w:numPr>
          <w:ilvl w:val="2"/>
          <w:numId w:val="1"/>
        </w:numPr>
        <w:spacing w:lineRule="auto" w:line="276" w:before="120" w:after="120"/>
        <w:jc w:val="both"/>
        <w:rPr>
          <w:rFonts w:cs="Arial"/>
          <w:color w:val="000000"/>
          <w:szCs w:val="20"/>
        </w:rPr>
      </w:pPr>
      <w:r>
        <w:rPr>
          <w:rFonts w:cs="Arial"/>
          <w:color w:val="000000"/>
          <w:szCs w:val="20"/>
        </w:rPr>
        <w:t>dar causa à inexecução total do contrato;</w:t>
      </w:r>
    </w:p>
    <w:p>
      <w:pPr>
        <w:pStyle w:val="Normal"/>
        <w:numPr>
          <w:ilvl w:val="2"/>
          <w:numId w:val="1"/>
        </w:numPr>
        <w:spacing w:lineRule="auto" w:line="276" w:before="120" w:after="120"/>
        <w:jc w:val="both"/>
        <w:rPr>
          <w:rFonts w:cs="Arial"/>
          <w:color w:val="000000"/>
          <w:szCs w:val="20"/>
        </w:rPr>
      </w:pPr>
      <w:r>
        <w:rPr>
          <w:rFonts w:cs="Arial"/>
          <w:color w:val="000000"/>
          <w:szCs w:val="20"/>
        </w:rPr>
        <w:t>deixar de entregar a documentação exigida para o certame;</w:t>
      </w:r>
    </w:p>
    <w:p>
      <w:pPr>
        <w:pStyle w:val="Normal"/>
        <w:numPr>
          <w:ilvl w:val="2"/>
          <w:numId w:val="1"/>
        </w:numPr>
        <w:spacing w:lineRule="auto" w:line="276" w:before="120" w:after="120"/>
        <w:jc w:val="both"/>
        <w:rPr>
          <w:rFonts w:cs="Arial"/>
          <w:color w:val="000000"/>
          <w:szCs w:val="20"/>
        </w:rPr>
      </w:pPr>
      <w:r>
        <w:rPr>
          <w:rFonts w:cs="Arial"/>
          <w:color w:val="000000"/>
          <w:szCs w:val="20"/>
        </w:rPr>
        <w:t>não manter a proposta, salvo em decorrência de fato superveniente devidamente justificado;</w:t>
      </w:r>
    </w:p>
    <w:p>
      <w:pPr>
        <w:pStyle w:val="Normal"/>
        <w:numPr>
          <w:ilvl w:val="2"/>
          <w:numId w:val="1"/>
        </w:numPr>
        <w:spacing w:lineRule="auto" w:line="276" w:before="120" w:after="120"/>
        <w:jc w:val="both"/>
        <w:rPr>
          <w:rFonts w:cs="Arial"/>
          <w:color w:val="000000"/>
          <w:szCs w:val="20"/>
        </w:rPr>
      </w:pPr>
      <w:r>
        <w:rPr>
          <w:rFonts w:cs="Arial"/>
          <w:color w:val="000000"/>
          <w:szCs w:val="20"/>
        </w:rPr>
        <w:t>não celebrar o contrato ou não entregar a documentação exigida para a contratação, quando convocado dentro do prazo de validade de sua proposta;</w:t>
      </w:r>
    </w:p>
    <w:p>
      <w:pPr>
        <w:pStyle w:val="Normal"/>
        <w:numPr>
          <w:ilvl w:val="2"/>
          <w:numId w:val="1"/>
        </w:numPr>
        <w:spacing w:lineRule="auto" w:line="276" w:before="120" w:after="120"/>
        <w:jc w:val="both"/>
        <w:rPr>
          <w:rFonts w:cs="Arial"/>
          <w:color w:val="000000"/>
          <w:szCs w:val="20"/>
        </w:rPr>
      </w:pPr>
      <w:r>
        <w:rPr>
          <w:rFonts w:cs="Arial"/>
          <w:color w:val="000000"/>
          <w:szCs w:val="20"/>
        </w:rPr>
        <w:t> </w:t>
      </w:r>
      <w:r>
        <w:rPr>
          <w:rFonts w:cs="Arial"/>
          <w:color w:val="000000"/>
          <w:szCs w:val="20"/>
        </w:rPr>
        <w:t>ensejar o retardamento da execução ou da entrega do objeto da licitação sem motivo justificado;</w:t>
      </w:r>
    </w:p>
    <w:p>
      <w:pPr>
        <w:pStyle w:val="Normal"/>
        <w:numPr>
          <w:ilvl w:val="2"/>
          <w:numId w:val="1"/>
        </w:numPr>
        <w:spacing w:lineRule="auto" w:line="276" w:before="120" w:after="120"/>
        <w:jc w:val="both"/>
        <w:rPr>
          <w:rFonts w:cs="Arial"/>
          <w:color w:val="000000"/>
          <w:szCs w:val="20"/>
        </w:rPr>
      </w:pPr>
      <w:r>
        <w:rPr>
          <w:rFonts w:cs="Arial"/>
          <w:color w:val="000000"/>
          <w:szCs w:val="20"/>
        </w:rPr>
        <w:t>apresentar declaração ou documentação falsa exigida para o certame ou prestar declaração falsa durante a dispensa eletrônica ou a execução do contrato;</w:t>
      </w:r>
    </w:p>
    <w:p>
      <w:pPr>
        <w:pStyle w:val="Normal"/>
        <w:numPr>
          <w:ilvl w:val="2"/>
          <w:numId w:val="1"/>
        </w:numPr>
        <w:spacing w:lineRule="auto" w:line="276" w:before="120" w:after="120"/>
        <w:jc w:val="both"/>
        <w:rPr>
          <w:rFonts w:cs="Arial"/>
          <w:color w:val="000000"/>
          <w:szCs w:val="20"/>
        </w:rPr>
      </w:pPr>
      <w:r>
        <w:rPr>
          <w:rFonts w:cs="Arial"/>
          <w:color w:val="000000"/>
          <w:szCs w:val="20"/>
        </w:rPr>
        <w:t>fraudar a dispensa eletrônica ou praticar ato fraudulento na execução do contrato;</w:t>
      </w:r>
    </w:p>
    <w:p>
      <w:pPr>
        <w:pStyle w:val="Normal"/>
        <w:numPr>
          <w:ilvl w:val="2"/>
          <w:numId w:val="1"/>
        </w:numPr>
        <w:spacing w:lineRule="auto" w:line="276" w:before="120" w:after="120"/>
        <w:jc w:val="both"/>
        <w:rPr>
          <w:rFonts w:cs="Arial"/>
          <w:color w:val="000000"/>
          <w:szCs w:val="20"/>
        </w:rPr>
      </w:pPr>
      <w:r>
        <w:rPr>
          <w:rFonts w:cs="Arial"/>
          <w:color w:val="000000"/>
          <w:szCs w:val="20"/>
        </w:rPr>
        <w:t> </w:t>
      </w:r>
      <w:r>
        <w:rPr>
          <w:rFonts w:cs="Arial"/>
          <w:color w:val="000000"/>
          <w:szCs w:val="20"/>
        </w:rPr>
        <w:t>comportar-se de modo inidôneo ou cometer fraude de qualquer natureza;</w:t>
      </w:r>
    </w:p>
    <w:p>
      <w:pPr>
        <w:pStyle w:val="ListParagraph"/>
        <w:numPr>
          <w:ilvl w:val="3"/>
          <w:numId w:val="1"/>
        </w:numPr>
        <w:spacing w:lineRule="auto" w:line="276" w:before="120" w:after="120"/>
        <w:contextualSpacing/>
        <w:jc w:val="both"/>
        <w:rPr>
          <w:rFonts w:cs="Arial"/>
        </w:rPr>
      </w:pPr>
      <w:r>
        <w:rPr>
          <w:rFonts w:cs="Arial"/>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1"/>
        </w:numPr>
        <w:spacing w:lineRule="auto" w:line="276" w:before="120" w:after="120"/>
        <w:jc w:val="both"/>
        <w:rPr>
          <w:rFonts w:cs="Arial"/>
          <w:color w:val="000000"/>
          <w:szCs w:val="20"/>
        </w:rPr>
      </w:pPr>
      <w:r>
        <w:rPr>
          <w:rFonts w:cs="Arial"/>
          <w:color w:val="000000"/>
          <w:szCs w:val="20"/>
        </w:rPr>
        <w:t> </w:t>
      </w:r>
      <w:r>
        <w:rPr>
          <w:rFonts w:cs="Arial"/>
          <w:color w:val="000000"/>
          <w:szCs w:val="20"/>
        </w:rPr>
        <w:t>praticar atos ilícitos com vistas a frustrar os objetivos deste certame.</w:t>
      </w:r>
    </w:p>
    <w:p>
      <w:pPr>
        <w:pStyle w:val="Normal"/>
        <w:numPr>
          <w:ilvl w:val="2"/>
          <w:numId w:val="1"/>
        </w:numPr>
        <w:spacing w:lineRule="auto" w:line="276" w:before="120" w:after="120"/>
        <w:jc w:val="both"/>
        <w:rPr/>
      </w:pPr>
      <w:r>
        <w:rPr>
          <w:rFonts w:cs="Arial"/>
          <w:color w:val="000000"/>
          <w:szCs w:val="20"/>
        </w:rPr>
        <w:t>praticar ato lesivo previsto no </w:t>
      </w:r>
      <w:r>
        <w:fldChar w:fldCharType="begin"/>
      </w:r>
      <w:r>
        <w:rPr>
          <w:rStyle w:val="ListLabel73"/>
        </w:rPr>
        <w:instrText> HYPERLINK "http://www.planalto.gov.br/ccivil_03/_Ato2011-2014/2013/Lei/L12846.htm" \l "art5"</w:instrText>
      </w:r>
      <w:r>
        <w:rPr>
          <w:rStyle w:val="ListLabel73"/>
        </w:rPr>
        <w:fldChar w:fldCharType="separate"/>
      </w:r>
      <w:r>
        <w:rPr>
          <w:rStyle w:val="ListLabel73"/>
          <w:color w:val="000000"/>
        </w:rPr>
        <w:t>art. 5º da Lei nº 12.846, de 1º de agosto de 2013.</w:t>
      </w:r>
      <w:r>
        <w:rPr>
          <w:rStyle w:val="ListLabel73"/>
        </w:rPr>
        <w:fldChar w:fldCharType="end"/>
      </w:r>
    </w:p>
    <w:p>
      <w:pPr>
        <w:pStyle w:val="Normal"/>
        <w:numPr>
          <w:ilvl w:val="1"/>
          <w:numId w:val="1"/>
        </w:numPr>
        <w:spacing w:lineRule="auto" w:line="276" w:before="120" w:after="120"/>
        <w:ind w:left="425" w:right="0" w:hanging="0"/>
        <w:jc w:val="both"/>
        <w:rPr>
          <w:rFonts w:cs="Arial"/>
        </w:rPr>
      </w:pPr>
      <w:r>
        <w:rPr>
          <w:rFonts w:cs="Arial"/>
        </w:rPr>
        <w:t>O fornecedor que cometer qualquer das infrações discriminadas nos subitens anteriores ficará sujeito, sem prejuízo da responsabilidade civil e criminal, às seguintes sanções:</w:t>
      </w:r>
    </w:p>
    <w:p>
      <w:pPr>
        <w:pStyle w:val="Normal"/>
        <w:numPr>
          <w:ilvl w:val="2"/>
          <w:numId w:val="5"/>
        </w:numPr>
        <w:spacing w:lineRule="auto" w:line="276" w:before="120" w:after="120"/>
        <w:jc w:val="both"/>
        <w:rPr>
          <w:rFonts w:cs="Arial"/>
        </w:rPr>
      </w:pPr>
      <w:r>
        <w:rPr>
          <w:rFonts w:cs="Arial"/>
        </w:rPr>
        <w:t>Advertência pela falta do subitem 8.1.1 deste Aviso de Contratação Direta,quando não se justificar a imposição de penalidade mais grave;</w:t>
      </w:r>
    </w:p>
    <w:p>
      <w:pPr>
        <w:pStyle w:val="Normal"/>
        <w:numPr>
          <w:ilvl w:val="2"/>
          <w:numId w:val="5"/>
        </w:numPr>
        <w:spacing w:lineRule="auto" w:line="276" w:before="120" w:after="120"/>
        <w:jc w:val="both"/>
        <w:rPr/>
      </w:pPr>
      <w:r>
        <w:rPr>
          <w:rFonts w:cs="Arial"/>
        </w:rPr>
        <w:t xml:space="preserve">Multa de </w:t>
      </w:r>
      <w:r>
        <w:rPr>
          <w:rFonts w:cs="Arial"/>
          <w:color w:val="000000"/>
        </w:rPr>
        <w:t>20% (vinte por cento) so</w:t>
      </w:r>
      <w:r>
        <w:rPr>
          <w:rFonts w:cs="Arial"/>
        </w:rPr>
        <w:t>bre o valor estimado do(s) item(s) prejudicado(s) pela conduta do fornecedor, por qualquer das infrações dos subitens 8.1.1 a 8.1.12;</w:t>
      </w:r>
    </w:p>
    <w:p>
      <w:pPr>
        <w:pStyle w:val="Normal"/>
        <w:numPr>
          <w:ilvl w:val="2"/>
          <w:numId w:val="5"/>
        </w:numPr>
        <w:spacing w:lineRule="auto" w:line="276" w:before="120" w:after="120"/>
        <w:jc w:val="both"/>
        <w:rPr/>
      </w:pPr>
      <w:r>
        <w:rPr>
          <w:rFonts w:cs="Arial"/>
          <w:color w:val="000000"/>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cs="Arial"/>
        </w:rPr>
        <w:t>;</w:t>
      </w:r>
    </w:p>
    <w:p>
      <w:pPr>
        <w:pStyle w:val="Normal"/>
        <w:numPr>
          <w:ilvl w:val="2"/>
          <w:numId w:val="5"/>
        </w:numPr>
        <w:spacing w:lineRule="auto" w:line="276" w:before="120" w:after="120"/>
        <w:jc w:val="both"/>
        <w:rPr/>
      </w:pPr>
      <w:r>
        <w:rPr>
          <w:rFonts w:cs="Arial"/>
          <w:color w:val="000000"/>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cs="Arial"/>
        </w:rPr>
        <w:t>;</w:t>
      </w:r>
    </w:p>
    <w:p>
      <w:pPr>
        <w:pStyle w:val="Normal"/>
        <w:numPr>
          <w:ilvl w:val="1"/>
          <w:numId w:val="1"/>
        </w:numPr>
        <w:spacing w:lineRule="auto" w:line="276" w:before="120" w:after="120"/>
        <w:jc w:val="both"/>
        <w:rPr>
          <w:rFonts w:cs="Arial"/>
          <w:bCs/>
        </w:rPr>
      </w:pPr>
      <w:r>
        <w:rPr>
          <w:rFonts w:cs="Arial"/>
          <w:bCs/>
        </w:rPr>
        <w:t>Na aplicação das sanções serão considerados:</w:t>
      </w:r>
    </w:p>
    <w:p>
      <w:pPr>
        <w:pStyle w:val="Normal"/>
        <w:numPr>
          <w:ilvl w:val="2"/>
          <w:numId w:val="1"/>
        </w:numPr>
        <w:spacing w:lineRule="auto" w:line="276" w:before="120" w:after="120"/>
        <w:jc w:val="both"/>
        <w:rPr>
          <w:rFonts w:cs="Arial"/>
          <w:bCs/>
        </w:rPr>
      </w:pPr>
      <w:r>
        <w:rPr>
          <w:rFonts w:cs="Arial"/>
          <w:bCs/>
        </w:rPr>
        <w:t>a natureza e a gravidade da infração cometida;</w:t>
      </w:r>
    </w:p>
    <w:p>
      <w:pPr>
        <w:pStyle w:val="Normal"/>
        <w:numPr>
          <w:ilvl w:val="2"/>
          <w:numId w:val="1"/>
        </w:numPr>
        <w:spacing w:lineRule="auto" w:line="276" w:before="120" w:after="120"/>
        <w:jc w:val="both"/>
        <w:rPr>
          <w:rFonts w:cs="Arial"/>
          <w:bCs/>
        </w:rPr>
      </w:pPr>
      <w:r>
        <w:rPr>
          <w:rFonts w:cs="Arial"/>
          <w:bCs/>
        </w:rPr>
        <w:t>as peculiaridades do caso concreto;</w:t>
      </w:r>
    </w:p>
    <w:p>
      <w:pPr>
        <w:pStyle w:val="Normal"/>
        <w:numPr>
          <w:ilvl w:val="2"/>
          <w:numId w:val="1"/>
        </w:numPr>
        <w:spacing w:lineRule="auto" w:line="276" w:before="120" w:after="120"/>
        <w:jc w:val="both"/>
        <w:rPr>
          <w:rFonts w:cs="Arial"/>
          <w:bCs/>
        </w:rPr>
      </w:pPr>
      <w:r>
        <w:rPr>
          <w:rFonts w:cs="Arial"/>
          <w:bCs/>
        </w:rPr>
        <w:t>as circunstâncias agravantes ou atenuantes;</w:t>
      </w:r>
    </w:p>
    <w:p>
      <w:pPr>
        <w:pStyle w:val="Normal"/>
        <w:numPr>
          <w:ilvl w:val="2"/>
          <w:numId w:val="1"/>
        </w:numPr>
        <w:spacing w:lineRule="auto" w:line="276" w:before="120" w:after="120"/>
        <w:jc w:val="both"/>
        <w:rPr>
          <w:rFonts w:cs="Arial"/>
          <w:bCs/>
        </w:rPr>
      </w:pPr>
      <w:r>
        <w:rPr>
          <w:rFonts w:cs="Arial"/>
          <w:bCs/>
        </w:rPr>
        <w:t>os danos que dela provierem para a Administração Pública;</w:t>
      </w:r>
    </w:p>
    <w:p>
      <w:pPr>
        <w:pStyle w:val="Normal"/>
        <w:numPr>
          <w:ilvl w:val="2"/>
          <w:numId w:val="1"/>
        </w:numPr>
        <w:spacing w:lineRule="auto" w:line="276" w:before="120" w:after="120"/>
        <w:jc w:val="both"/>
        <w:rPr>
          <w:rFonts w:cs="Arial"/>
          <w:bCs/>
        </w:rPr>
      </w:pPr>
      <w:r>
        <w:rPr>
          <w:rFonts w:cs="Arial"/>
          <w:bCs/>
        </w:rPr>
        <w:t>a implantação ou o aperfeiçoamento de programa de integridade, conforme normas e orientações dos órgãos de controle.</w:t>
      </w:r>
    </w:p>
    <w:p>
      <w:pPr>
        <w:pStyle w:val="Normal"/>
        <w:numPr>
          <w:ilvl w:val="1"/>
          <w:numId w:val="1"/>
        </w:numPr>
        <w:spacing w:lineRule="auto" w:line="276" w:before="120" w:after="120"/>
        <w:ind w:left="425" w:right="0" w:hanging="0"/>
        <w:jc w:val="both"/>
        <w:rPr>
          <w:rFonts w:cs="Arial"/>
        </w:rPr>
      </w:pPr>
      <w:bookmarkStart w:id="4" w:name="art156%2525252525252525C2%25252525252525"/>
      <w:bookmarkStart w:id="5" w:name="art156%2525252525252525C2%25252525252525"/>
      <w:bookmarkStart w:id="6" w:name="art156%2525252525252525C2%25252525252525"/>
      <w:bookmarkEnd w:id="4"/>
      <w:bookmarkEnd w:id="5"/>
      <w:bookmarkEnd w:id="6"/>
      <w:r>
        <w:rPr>
          <w:rFonts w:cs="Arial"/>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numPr>
          <w:ilvl w:val="1"/>
          <w:numId w:val="1"/>
        </w:numPr>
        <w:spacing w:lineRule="auto" w:line="276" w:before="120" w:after="120"/>
        <w:ind w:left="425" w:right="0" w:hanging="0"/>
        <w:jc w:val="both"/>
        <w:rPr>
          <w:rFonts w:cs="Arial"/>
        </w:rPr>
      </w:pPr>
      <w:bookmarkStart w:id="7" w:name="art156%2525252525252525C2%25252525252525"/>
      <w:bookmarkEnd w:id="7"/>
      <w:r>
        <w:rPr>
          <w:rFonts w:cs="Arial"/>
        </w:rPr>
        <w:t>A aplicação das sanções previstas neste Aviso de Contratação Direta, em hipótese alguma, a obrigação de reparação integral do dano causado à Administração Pública.</w:t>
      </w:r>
    </w:p>
    <w:p>
      <w:pPr>
        <w:pStyle w:val="Normal"/>
        <w:numPr>
          <w:ilvl w:val="1"/>
          <w:numId w:val="1"/>
        </w:numPr>
        <w:spacing w:lineRule="auto" w:line="276" w:before="120" w:after="120"/>
        <w:ind w:left="425" w:right="0" w:hanging="0"/>
        <w:jc w:val="both"/>
        <w:rPr>
          <w:rFonts w:cs="Arial"/>
        </w:rPr>
      </w:pPr>
      <w:r>
        <w:rPr>
          <w:rFonts w:cs="Arial"/>
        </w:rPr>
        <w:t>A penalidade de multa pode ser aplicada cumulativamente com as demais sanções.</w:t>
      </w:r>
    </w:p>
    <w:p>
      <w:pPr>
        <w:pStyle w:val="Normal"/>
        <w:numPr>
          <w:ilvl w:val="1"/>
          <w:numId w:val="1"/>
        </w:numPr>
        <w:spacing w:lineRule="auto" w:line="276" w:before="120" w:after="120"/>
        <w:ind w:left="425" w:right="0" w:hanging="0"/>
        <w:jc w:val="both"/>
        <w:rPr>
          <w:rFonts w:cs="Arial"/>
        </w:rPr>
      </w:pPr>
      <w:r>
        <w:rPr>
          <w:rFonts w:cs="Arial"/>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1"/>
        </w:numPr>
        <w:spacing w:lineRule="auto" w:line="276" w:before="120" w:after="120"/>
        <w:ind w:left="425" w:right="0" w:hanging="0"/>
        <w:jc w:val="both"/>
        <w:rPr>
          <w:rFonts w:cs="Arial"/>
        </w:rPr>
      </w:pPr>
      <w:r>
        <w:rPr>
          <w:rFonts w:cs="Arial"/>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1"/>
        </w:numPr>
        <w:spacing w:lineRule="auto" w:line="276" w:before="120" w:after="120"/>
        <w:ind w:left="425" w:right="0" w:hanging="0"/>
        <w:jc w:val="both"/>
        <w:rPr>
          <w:rFonts w:cs="Arial"/>
        </w:rPr>
      </w:pPr>
      <w:r>
        <w:rPr>
          <w:rFonts w:cs="Arial"/>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1"/>
        </w:numPr>
        <w:spacing w:lineRule="auto" w:line="276" w:before="120" w:after="120"/>
        <w:ind w:left="425" w:right="0" w:hanging="0"/>
        <w:jc w:val="both"/>
        <w:rPr>
          <w:rFonts w:cs="Arial"/>
        </w:rPr>
      </w:pPr>
      <w:r>
        <w:rPr>
          <w:rFonts w:cs="Arial"/>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1"/>
        </w:numPr>
        <w:spacing w:lineRule="auto" w:line="276" w:before="120" w:after="120"/>
        <w:ind w:left="425" w:right="0" w:hanging="0"/>
        <w:jc w:val="both"/>
        <w:rPr>
          <w:rFonts w:cs="Arial"/>
        </w:rPr>
      </w:pPr>
      <w:r>
        <w:rPr>
          <w:rFonts w:cs="Arial"/>
        </w:rPr>
        <w:t>As sanções por atos praticados no decorrer da contratação estão previstas nos anexos a este Aviso.</w:t>
      </w:r>
    </w:p>
    <w:p>
      <w:pPr>
        <w:pStyle w:val="Normal"/>
        <w:spacing w:lineRule="auto" w:line="276" w:before="120" w:after="120"/>
        <w:ind w:left="425" w:right="0" w:hanging="0"/>
        <w:jc w:val="both"/>
        <w:rPr>
          <w:rFonts w:cs="Arial"/>
        </w:rPr>
      </w:pPr>
      <w:r>
        <w:rPr>
          <w:rFonts w:cs="Arial"/>
        </w:rPr>
      </w:r>
    </w:p>
    <w:p>
      <w:pPr>
        <w:pStyle w:val="PADRO"/>
        <w:keepNext w:val="false"/>
        <w:widowControl/>
        <w:numPr>
          <w:ilvl w:val="0"/>
          <w:numId w:val="1"/>
        </w:numPr>
        <w:shd w:val="clear" w:fill="FFFFFF"/>
        <w:spacing w:before="120" w:after="120"/>
        <w:rPr>
          <w:rFonts w:ascii="Arial" w:hAnsi="Arial" w:cs="Arial"/>
          <w:b/>
          <w:b/>
        </w:rPr>
      </w:pPr>
      <w:r>
        <w:rPr>
          <w:rFonts w:cs="Arial" w:ascii="Arial" w:hAnsi="Arial"/>
          <w:b/>
        </w:rPr>
        <w:t>DAS DISPOSIÇÕES GERAIS</w:t>
      </w:r>
    </w:p>
    <w:p>
      <w:pPr>
        <w:pStyle w:val="Normal"/>
        <w:numPr>
          <w:ilvl w:val="1"/>
          <w:numId w:val="1"/>
        </w:numPr>
        <w:snapToGrid w:val="false"/>
        <w:spacing w:lineRule="auto" w:line="276" w:before="120" w:after="120"/>
        <w:ind w:left="425" w:right="0" w:hanging="0"/>
        <w:jc w:val="both"/>
        <w:rPr/>
      </w:pPr>
      <w:r>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1"/>
        </w:numPr>
        <w:spacing w:lineRule="auto" w:line="276" w:before="120" w:after="120"/>
        <w:ind w:left="425" w:right="0" w:hanging="0"/>
        <w:jc w:val="both"/>
        <w:rPr>
          <w:rFonts w:cs="Arial"/>
          <w:color w:val="000000"/>
          <w:szCs w:val="20"/>
        </w:rPr>
      </w:pPr>
      <w:r>
        <w:rPr>
          <w:rFonts w:cs="Arial"/>
          <w:color w:val="000000"/>
          <w:szCs w:val="20"/>
        </w:rPr>
        <w:t>No caso de todos os fornecedores restarem desclassificados ou inabilitados (procedimento fracassado), a Administração poderá:</w:t>
      </w:r>
    </w:p>
    <w:p>
      <w:pPr>
        <w:pStyle w:val="Normal"/>
        <w:numPr>
          <w:ilvl w:val="2"/>
          <w:numId w:val="1"/>
        </w:numPr>
        <w:spacing w:lineRule="auto" w:line="276" w:before="120" w:after="120"/>
        <w:jc w:val="both"/>
        <w:rPr>
          <w:rFonts w:cs="Arial"/>
          <w:color w:val="000000"/>
          <w:szCs w:val="20"/>
        </w:rPr>
      </w:pPr>
      <w:r>
        <w:rPr>
          <w:rFonts w:cs="Arial"/>
          <w:color w:val="000000"/>
          <w:szCs w:val="20"/>
        </w:rPr>
        <w:t xml:space="preserve"> </w:t>
      </w:r>
      <w:r>
        <w:rPr>
          <w:rFonts w:cs="Arial"/>
          <w:color w:val="000000"/>
          <w:szCs w:val="20"/>
        </w:rPr>
        <w:t>Republicar o presente aviso com uma nova data;</w:t>
      </w:r>
    </w:p>
    <w:p>
      <w:pPr>
        <w:pStyle w:val="Normal"/>
        <w:numPr>
          <w:ilvl w:val="2"/>
          <w:numId w:val="1"/>
        </w:numPr>
        <w:spacing w:lineRule="auto" w:line="276" w:before="120" w:after="120"/>
        <w:jc w:val="both"/>
        <w:rPr>
          <w:rFonts w:cs="Arial"/>
          <w:color w:val="000000"/>
          <w:szCs w:val="20"/>
        </w:rPr>
      </w:pPr>
      <w:r>
        <w:rPr>
          <w:rFonts w:cs="Arial"/>
          <w:color w:val="000000"/>
          <w:szCs w:val="20"/>
        </w:rPr>
        <w:t xml:space="preserve"> </w:t>
      </w:r>
      <w:r>
        <w:rPr>
          <w:rFonts w:cs="Arial"/>
          <w:color w:val="000000"/>
          <w:szCs w:val="20"/>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1"/>
        </w:numPr>
        <w:spacing w:lineRule="auto" w:line="276" w:before="120" w:after="120"/>
        <w:jc w:val="both"/>
        <w:rPr>
          <w:rFonts w:cs="Arial"/>
          <w:color w:val="000000"/>
          <w:szCs w:val="20"/>
        </w:rPr>
      </w:pPr>
      <w:r>
        <w:rPr>
          <w:rFonts w:cs="Arial"/>
          <w:color w:val="000000"/>
          <w:szCs w:val="20"/>
        </w:rPr>
        <w:t>No caso do subitem anterior, a contratação será operacionalizada fora deste procedimento.</w:t>
      </w:r>
    </w:p>
    <w:p>
      <w:pPr>
        <w:pStyle w:val="Normal"/>
        <w:numPr>
          <w:ilvl w:val="2"/>
          <w:numId w:val="1"/>
        </w:numPr>
        <w:spacing w:lineRule="auto" w:line="276" w:before="120" w:after="120"/>
        <w:jc w:val="both"/>
        <w:rPr>
          <w:rFonts w:cs="Arial"/>
          <w:color w:val="000000"/>
          <w:szCs w:val="20"/>
        </w:rPr>
      </w:pPr>
      <w:r>
        <w:rPr>
          <w:rFonts w:cs="Arial"/>
          <w:color w:val="000000"/>
          <w:szCs w:val="20"/>
        </w:rPr>
        <w:t>Fixar prazo para que possa haver adequação das propostas ou da documentação de habilitação, conforme o caso.</w:t>
      </w:r>
    </w:p>
    <w:p>
      <w:pPr>
        <w:pStyle w:val="Normal"/>
        <w:numPr>
          <w:ilvl w:val="1"/>
          <w:numId w:val="1"/>
        </w:numPr>
        <w:spacing w:lineRule="auto" w:line="276" w:before="120" w:after="120"/>
        <w:ind w:left="425" w:right="0" w:hanging="0"/>
        <w:jc w:val="both"/>
        <w:rPr>
          <w:rFonts w:cs="Arial"/>
          <w:color w:val="000000"/>
          <w:szCs w:val="20"/>
        </w:rPr>
      </w:pPr>
      <w:r>
        <w:rPr>
          <w:rFonts w:cs="Arial"/>
          <w:color w:val="000000"/>
          <w:szCs w:val="20"/>
        </w:rPr>
        <w:t>As providências dos subitens 9.2.1 e 9.2.2 acima poderão ser utilizadas se não houver o comparecimento de quaisquer fornecedores interessados (procedimento deserto)</w:t>
      </w:r>
    </w:p>
    <w:p>
      <w:pPr>
        <w:pStyle w:val="Normal"/>
        <w:numPr>
          <w:ilvl w:val="1"/>
          <w:numId w:val="1"/>
        </w:numPr>
        <w:spacing w:lineRule="auto" w:line="276" w:before="120" w:after="120"/>
        <w:ind w:left="425" w:right="0" w:hanging="0"/>
        <w:jc w:val="both"/>
        <w:rPr>
          <w:rFonts w:cs="Arial"/>
          <w:color w:val="000000"/>
          <w:szCs w:val="20"/>
        </w:rPr>
      </w:pPr>
      <w:r>
        <w:rPr>
          <w:rFonts w:cs="Arial"/>
          <w:color w:val="00000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1"/>
        </w:numPr>
        <w:spacing w:lineRule="auto" w:line="276" w:before="120" w:after="120"/>
        <w:ind w:left="425" w:right="0" w:hanging="0"/>
        <w:jc w:val="both"/>
        <w:rPr>
          <w:rFonts w:cs="Arial"/>
          <w:color w:val="000000"/>
          <w:szCs w:val="20"/>
        </w:rPr>
      </w:pPr>
      <w:r>
        <w:rPr>
          <w:rFonts w:cs="Arial"/>
          <w:color w:val="000000"/>
          <w:szCs w:val="20"/>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1"/>
        </w:numPr>
        <w:spacing w:lineRule="auto" w:line="276" w:before="120" w:after="120"/>
        <w:ind w:left="425" w:right="0" w:hanging="0"/>
        <w:jc w:val="both"/>
        <w:rPr>
          <w:rFonts w:cs="Arial"/>
          <w:color w:val="000000"/>
          <w:szCs w:val="20"/>
        </w:rPr>
      </w:pPr>
      <w:r>
        <w:rPr>
          <w:rFonts w:cs="Arial"/>
          <w:color w:val="00000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1"/>
        </w:numPr>
        <w:spacing w:lineRule="auto" w:line="276" w:before="120" w:after="120"/>
        <w:ind w:left="425" w:right="0" w:hanging="0"/>
        <w:jc w:val="both"/>
        <w:rPr>
          <w:rFonts w:cs="Arial"/>
          <w:color w:val="000000"/>
          <w:szCs w:val="20"/>
        </w:rPr>
      </w:pPr>
      <w:r>
        <w:rPr>
          <w:rFonts w:cs="Arial"/>
          <w:color w:val="000000"/>
          <w:szCs w:val="20"/>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1"/>
        </w:numPr>
        <w:spacing w:lineRule="auto" w:line="276" w:before="120" w:after="120"/>
        <w:ind w:left="425" w:right="0" w:hanging="0"/>
        <w:jc w:val="both"/>
        <w:rPr>
          <w:rFonts w:cs="Arial"/>
          <w:color w:val="000000"/>
          <w:szCs w:val="20"/>
        </w:rPr>
      </w:pPr>
      <w:r>
        <w:rPr>
          <w:rFonts w:cs="Arial"/>
          <w:color w:val="000000"/>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1"/>
        </w:numPr>
        <w:spacing w:lineRule="auto" w:line="276" w:before="120" w:after="120"/>
        <w:ind w:left="425" w:right="0" w:hanging="0"/>
        <w:jc w:val="both"/>
        <w:rPr>
          <w:rFonts w:cs="Arial"/>
          <w:color w:val="000000"/>
          <w:szCs w:val="20"/>
        </w:rPr>
      </w:pPr>
      <w:r>
        <w:rPr>
          <w:rFonts w:cs="Arial"/>
          <w:color w:val="00000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1"/>
        </w:numPr>
        <w:spacing w:lineRule="auto" w:line="276" w:before="120" w:after="120"/>
        <w:ind w:left="425" w:right="0" w:hanging="0"/>
        <w:jc w:val="both"/>
        <w:rPr>
          <w:rFonts w:cs="Arial"/>
          <w:color w:val="000000"/>
          <w:szCs w:val="20"/>
        </w:rPr>
      </w:pPr>
      <w:r>
        <w:rPr>
          <w:rFonts w:cs="Arial"/>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1"/>
        </w:numPr>
        <w:spacing w:lineRule="auto" w:line="276" w:before="120" w:after="120"/>
        <w:ind w:left="425" w:right="0" w:hanging="0"/>
        <w:jc w:val="both"/>
        <w:rPr>
          <w:rFonts w:cs="Arial"/>
          <w:color w:val="000000"/>
          <w:szCs w:val="20"/>
        </w:rPr>
      </w:pPr>
      <w:r>
        <w:rPr>
          <w:rFonts w:cs="Arial"/>
          <w:color w:val="000000"/>
          <w:szCs w:val="20"/>
        </w:rPr>
        <w:t>Em caso de divergência entre disposições deste Aviso de Contratação Direta e de seus anexos ou demais peças que compõem o processo, prevalecerá as deste Aviso.</w:t>
      </w:r>
    </w:p>
    <w:p>
      <w:pPr>
        <w:pStyle w:val="Normal"/>
        <w:numPr>
          <w:ilvl w:val="1"/>
          <w:numId w:val="1"/>
        </w:numPr>
        <w:spacing w:lineRule="auto" w:line="276" w:before="120" w:after="120"/>
        <w:ind w:left="425" w:right="0" w:hanging="0"/>
        <w:jc w:val="both"/>
        <w:rPr>
          <w:rFonts w:cs="Arial"/>
          <w:color w:val="000000"/>
          <w:szCs w:val="20"/>
        </w:rPr>
      </w:pPr>
      <w:r>
        <w:rPr>
          <w:rFonts w:cs="Arial"/>
          <w:color w:val="000000"/>
          <w:szCs w:val="20"/>
        </w:rPr>
        <w:t>Da sessão pública será divulgada Ata no sistema eletrônico.</w:t>
      </w:r>
    </w:p>
    <w:p>
      <w:pPr>
        <w:pStyle w:val="Normal"/>
        <w:numPr>
          <w:ilvl w:val="1"/>
          <w:numId w:val="1"/>
        </w:numPr>
        <w:spacing w:lineRule="auto" w:line="276" w:before="120" w:after="120"/>
        <w:ind w:left="425" w:right="0" w:hanging="0"/>
        <w:jc w:val="both"/>
        <w:rPr>
          <w:rFonts w:cs="Arial"/>
          <w:color w:val="000000"/>
          <w:szCs w:val="20"/>
        </w:rPr>
      </w:pPr>
      <w:r>
        <w:rPr>
          <w:rFonts w:cs="Arial"/>
          <w:color w:val="000000"/>
          <w:szCs w:val="20"/>
        </w:rPr>
        <w:t>Integram este Aviso de Contratação Direta, para todos os fins e efeitos, os seguintes anexos:</w:t>
      </w:r>
    </w:p>
    <w:p>
      <w:pPr>
        <w:pStyle w:val="Normal"/>
        <w:numPr>
          <w:ilvl w:val="2"/>
          <w:numId w:val="1"/>
        </w:numPr>
        <w:spacing w:lineRule="auto" w:line="276" w:before="120" w:after="120"/>
        <w:jc w:val="both"/>
        <w:rPr>
          <w:rFonts w:cs="Arial"/>
          <w:color w:val="000000"/>
          <w:szCs w:val="20"/>
        </w:rPr>
      </w:pPr>
      <w:r>
        <w:rPr>
          <w:rFonts w:cs="Arial"/>
          <w:color w:val="000000"/>
          <w:szCs w:val="20"/>
        </w:rPr>
        <w:t>ANEXO I – Documentação exigida para Habilitação</w:t>
      </w:r>
    </w:p>
    <w:p>
      <w:pPr>
        <w:pStyle w:val="Normal"/>
        <w:numPr>
          <w:ilvl w:val="2"/>
          <w:numId w:val="1"/>
        </w:numPr>
        <w:spacing w:lineRule="auto" w:line="276" w:before="120" w:after="120"/>
        <w:jc w:val="both"/>
        <w:rPr>
          <w:rFonts w:cs="Arial"/>
          <w:color w:val="000000"/>
          <w:szCs w:val="20"/>
        </w:rPr>
      </w:pPr>
      <w:r>
        <w:rPr>
          <w:rFonts w:cs="Arial"/>
          <w:color w:val="000000"/>
          <w:szCs w:val="20"/>
        </w:rPr>
        <w:t>ANEXO II - Termo de Referência;</w:t>
      </w:r>
    </w:p>
    <w:p>
      <w:pPr>
        <w:pStyle w:val="Normal"/>
        <w:spacing w:lineRule="auto" w:line="276" w:before="120" w:after="120"/>
        <w:ind w:left="1224" w:right="0" w:hanging="0"/>
        <w:jc w:val="both"/>
        <w:rPr>
          <w:rFonts w:cs="Arial"/>
          <w:color w:val="000000"/>
          <w:szCs w:val="20"/>
        </w:rPr>
      </w:pPr>
      <w:r>
        <w:rPr>
          <w:rFonts w:cs="Arial"/>
          <w:color w:val="000000"/>
          <w:szCs w:val="20"/>
        </w:rPr>
      </w:r>
    </w:p>
    <w:p>
      <w:pPr>
        <w:pStyle w:val="Normal"/>
        <w:spacing w:lineRule="auto" w:line="276" w:before="0" w:after="120"/>
        <w:ind w:left="360" w:right="-15" w:hanging="0"/>
        <w:jc w:val="both"/>
        <w:rPr>
          <w:rFonts w:cs="Arial"/>
          <w:color w:val="000000"/>
          <w:szCs w:val="20"/>
        </w:rPr>
      </w:pPr>
      <w:r>
        <w:rPr>
          <w:rFonts w:cs="Arial"/>
          <w:color w:val="000000"/>
          <w:szCs w:val="20"/>
        </w:rPr>
        <w:t>Manaus-AM, _____, de _________________ de 2022</w:t>
      </w:r>
    </w:p>
    <w:p>
      <w:pPr>
        <w:pStyle w:val="Normal"/>
        <w:spacing w:lineRule="auto" w:line="276" w:before="0" w:after="120"/>
        <w:ind w:left="360" w:right="-15" w:hanging="0"/>
        <w:jc w:val="both"/>
        <w:rPr>
          <w:rFonts w:cs="Arial"/>
          <w:color w:val="000000"/>
          <w:szCs w:val="20"/>
        </w:rPr>
      </w:pPr>
      <w:r>
        <w:rPr>
          <w:rFonts w:cs="Arial"/>
          <w:color w:val="000000"/>
          <w:szCs w:val="20"/>
        </w:rPr>
      </w:r>
    </w:p>
    <w:p>
      <w:pPr>
        <w:pStyle w:val="Normal"/>
        <w:spacing w:lineRule="auto" w:line="276" w:before="0" w:after="120"/>
        <w:ind w:left="360" w:right="-15" w:hanging="0"/>
        <w:jc w:val="both"/>
        <w:rPr>
          <w:rFonts w:cs="Arial"/>
          <w:color w:val="000000"/>
          <w:szCs w:val="20"/>
        </w:rPr>
      </w:pPr>
      <w:r>
        <w:rPr>
          <w:rFonts w:cs="Arial"/>
          <w:color w:val="000000"/>
          <w:szCs w:val="20"/>
        </w:rPr>
      </w:r>
    </w:p>
    <w:p>
      <w:pPr>
        <w:pStyle w:val="Normal"/>
        <w:spacing w:lineRule="auto" w:line="276" w:before="0" w:after="120"/>
        <w:ind w:left="360" w:right="-15" w:hanging="0"/>
        <w:jc w:val="both"/>
        <w:rPr>
          <w:rFonts w:cs="Arial"/>
          <w:color w:val="000000"/>
          <w:szCs w:val="20"/>
        </w:rPr>
      </w:pPr>
      <w:r>
        <w:rPr>
          <w:rFonts w:cs="Arial"/>
          <w:color w:val="000000"/>
          <w:szCs w:val="20"/>
        </w:rPr>
      </w:r>
    </w:p>
    <w:p>
      <w:pPr>
        <w:pStyle w:val="Normal"/>
        <w:spacing w:lineRule="auto" w:line="276" w:before="0" w:after="120"/>
        <w:ind w:left="360" w:right="-15" w:hanging="0"/>
        <w:jc w:val="both"/>
        <w:rPr>
          <w:rFonts w:cs="Arial"/>
          <w:color w:val="000000"/>
          <w:szCs w:val="20"/>
        </w:rPr>
      </w:pPr>
      <w:r>
        <w:rPr>
          <w:rFonts w:cs="Arial"/>
          <w:color w:val="000000"/>
          <w:szCs w:val="20"/>
        </w:rPr>
      </w:r>
    </w:p>
    <w:p>
      <w:pPr>
        <w:pStyle w:val="Normal"/>
        <w:spacing w:lineRule="auto" w:line="276"/>
        <w:jc w:val="both"/>
        <w:rPr>
          <w:rFonts w:cs="Arial"/>
          <w:b/>
          <w:b/>
          <w:bCs/>
          <w:iCs/>
          <w:color w:val="000000"/>
          <w:szCs w:val="20"/>
        </w:rPr>
      </w:pPr>
      <w:r>
        <w:rPr>
          <w:rFonts w:cs="Arial"/>
          <w:b/>
          <w:bCs/>
          <w:iCs/>
          <w:color w:val="000000"/>
          <w:szCs w:val="20"/>
        </w:rPr>
        <w:tab/>
        <w:tab/>
      </w:r>
    </w:p>
    <w:p>
      <w:pPr>
        <w:pStyle w:val="Normal"/>
        <w:ind w:left="357" w:right="-7" w:firstLine="567"/>
        <w:jc w:val="center"/>
        <w:rPr>
          <w:rFonts w:ascii="Times New Roman" w:hAnsi="Times New Roman" w:cs="Times New Roman"/>
          <w:b/>
          <w:b/>
          <w:sz w:val="22"/>
          <w:szCs w:val="22"/>
          <w:lang w:eastAsia="en-US"/>
        </w:rPr>
      </w:pPr>
      <w:r>
        <w:rPr>
          <w:rFonts w:cs="Times New Roman" w:ascii="Times New Roman" w:hAnsi="Times New Roman"/>
          <w:b/>
          <w:sz w:val="22"/>
          <w:szCs w:val="22"/>
          <w:lang w:eastAsia="en-US"/>
        </w:rPr>
        <w:t>ANDRÉ LUIZ GRENTESKI – Cel</w:t>
      </w:r>
    </w:p>
    <w:p>
      <w:pPr>
        <w:sectPr>
          <w:type w:val="nextPage"/>
          <w:pgSz w:w="11906" w:h="16838"/>
          <w:pgMar w:left="720" w:right="720" w:header="0" w:top="720" w:footer="0" w:bottom="777" w:gutter="0"/>
          <w:pgNumType w:fmt="decimal"/>
          <w:formProt w:val="false"/>
          <w:textDirection w:val="lrTb"/>
          <w:docGrid w:type="default" w:linePitch="240" w:charSpace="0"/>
        </w:sectPr>
        <w:pStyle w:val="Normal"/>
        <w:spacing w:before="43" w:after="0"/>
        <w:ind w:left="357" w:right="-7" w:firstLine="567"/>
        <w:jc w:val="center"/>
        <w:rPr/>
      </w:pPr>
      <w:r>
        <w:rPr>
          <w:rFonts w:cs="Times New Roman" w:ascii="Times New Roman" w:hAnsi="Times New Roman"/>
          <w:sz w:val="22"/>
          <w:szCs w:val="22"/>
          <w:lang w:eastAsia="en-US"/>
        </w:rPr>
        <w:t>Ordenador de Despesas</w:t>
      </w:r>
      <w:r>
        <w:rPr>
          <w:rFonts w:cs="Times New Roman" w:ascii="Times New Roman" w:hAnsi="Times New Roman"/>
          <w:spacing w:val="27"/>
          <w:sz w:val="22"/>
          <w:szCs w:val="22"/>
          <w:lang w:eastAsia="en-US"/>
        </w:rPr>
        <w:t xml:space="preserve"> do</w:t>
      </w:r>
      <w:r>
        <w:rPr>
          <w:rFonts w:cs="Times New Roman" w:ascii="Times New Roman" w:hAnsi="Times New Roman"/>
          <w:sz w:val="22"/>
          <w:szCs w:val="22"/>
          <w:lang w:eastAsia="en-US"/>
        </w:rPr>
        <w:t xml:space="preserve"> 4° BAvEx</w:t>
      </w:r>
    </w:p>
    <w:p>
      <w:pPr>
        <w:pStyle w:val="Normal"/>
        <w:jc w:val="center"/>
        <w:rPr>
          <w:rFonts w:cs="Arial"/>
          <w:b/>
          <w:b/>
          <w:bCs/>
          <w:lang w:eastAsia="en-US"/>
        </w:rPr>
      </w:pPr>
      <w:r>
        <w:rPr>
          <w:rFonts w:cs="Arial"/>
          <w:b/>
          <w:bCs/>
          <w:lang w:eastAsia="en-US"/>
        </w:rPr>
        <w:t>ANEXO I – DOCUMENTAÇÃO EXIGIDA PARA HABILITAÇÃO</w:t>
      </w:r>
    </w:p>
    <w:p>
      <w:pPr>
        <w:pStyle w:val="Normal"/>
        <w:rPr>
          <w:rFonts w:cs="Arial"/>
          <w:lang w:eastAsia="en-US"/>
        </w:rPr>
      </w:pPr>
      <w:r>
        <w:rPr>
          <w:rFonts w:cs="Arial"/>
          <w:lang w:eastAsia="en-US"/>
        </w:rPr>
      </w:r>
    </w:p>
    <w:p>
      <w:pPr>
        <w:pStyle w:val="Normal"/>
        <w:rPr>
          <w:rFonts w:cs="Arial"/>
          <w:lang w:eastAsia="en-US"/>
        </w:rPr>
      </w:pPr>
      <w:r>
        <w:rPr>
          <w:rFonts w:cs="Arial"/>
          <w:lang w:eastAsia="en-US"/>
        </w:rPr>
      </w:r>
    </w:p>
    <w:p>
      <w:pPr>
        <w:pStyle w:val="PADRO"/>
        <w:keepNext w:val="false"/>
        <w:widowControl/>
        <w:numPr>
          <w:ilvl w:val="0"/>
          <w:numId w:val="3"/>
        </w:numPr>
        <w:shd w:val="clear" w:fill="FFFFFF"/>
        <w:spacing w:before="120" w:after="120"/>
        <w:rPr>
          <w:rFonts w:ascii="Arial" w:hAnsi="Arial" w:cs="Arial"/>
          <w:b/>
          <w:b/>
          <w:bCs/>
          <w:color w:val="000000"/>
          <w:szCs w:val="20"/>
        </w:rPr>
      </w:pPr>
      <w:r>
        <w:rPr>
          <w:rFonts w:cs="Arial" w:ascii="Arial" w:hAnsi="Arial"/>
          <w:b/>
          <w:bCs/>
          <w:color w:val="000000"/>
          <w:szCs w:val="20"/>
        </w:rPr>
        <w:t xml:space="preserve">Habilitação jurídica: </w:t>
      </w:r>
    </w:p>
    <w:p>
      <w:pPr>
        <w:pStyle w:val="Normal"/>
        <w:numPr>
          <w:ilvl w:val="1"/>
          <w:numId w:val="3"/>
        </w:numPr>
        <w:tabs>
          <w:tab w:val="left" w:pos="1440" w:leader="none"/>
        </w:tabs>
        <w:snapToGrid w:val="false"/>
        <w:spacing w:lineRule="auto" w:line="276" w:before="120" w:after="120"/>
        <w:jc w:val="both"/>
        <w:rPr>
          <w:rFonts w:cs="Arial"/>
          <w:szCs w:val="20"/>
        </w:rPr>
      </w:pPr>
      <w:r>
        <w:rPr>
          <w:rFonts w:cs="Arial"/>
          <w:szCs w:val="20"/>
        </w:rPr>
        <w:t>no caso de empresário individual, inscrição no Registro Público de Empresas Mercantis, a cargo da Junta Comercial da respectiva sede;</w:t>
      </w:r>
    </w:p>
    <w:p>
      <w:pPr>
        <w:pStyle w:val="ListParagraph"/>
        <w:numPr>
          <w:ilvl w:val="1"/>
          <w:numId w:val="3"/>
        </w:numPr>
        <w:tabs>
          <w:tab w:val="left" w:pos="1440" w:leader="none"/>
        </w:tabs>
        <w:snapToGrid w:val="false"/>
        <w:spacing w:lineRule="auto" w:line="276" w:before="120" w:after="120"/>
        <w:contextualSpacing/>
        <w:jc w:val="both"/>
        <w:rPr>
          <w:rFonts w:cs="Arial"/>
          <w:color w:val="000000"/>
          <w:szCs w:val="20"/>
        </w:rPr>
      </w:pPr>
      <w:r>
        <w:rPr>
          <w:rFonts w:cs="Arial"/>
          <w:color w:val="000000"/>
          <w:szCs w:val="20"/>
        </w:rPr>
        <w:t>Em se tratando de Microempreendedor Individual – MEI: Certificado da Condição de Microempreendedor Individual - CCMEI, cuja aceitação ficará condicionada à verificação da autenticidade no sítio www.portaldoempreendedor.gov.br;</w:t>
      </w:r>
    </w:p>
    <w:p>
      <w:pPr>
        <w:pStyle w:val="Normal"/>
        <w:numPr>
          <w:ilvl w:val="1"/>
          <w:numId w:val="3"/>
        </w:numPr>
        <w:tabs>
          <w:tab w:val="left" w:pos="1440" w:leader="none"/>
        </w:tabs>
        <w:snapToGrid w:val="false"/>
        <w:spacing w:lineRule="auto" w:line="276" w:before="120" w:after="120"/>
        <w:jc w:val="both"/>
        <w:rPr>
          <w:rFonts w:cs="Arial"/>
          <w:color w:val="000000"/>
          <w:szCs w:val="20"/>
        </w:rPr>
      </w:pPr>
      <w:r>
        <w:rPr>
          <w:rFonts w:cs="Arial"/>
          <w:color w:val="00000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Normal"/>
        <w:numPr>
          <w:ilvl w:val="1"/>
          <w:numId w:val="3"/>
        </w:numPr>
        <w:tabs>
          <w:tab w:val="left" w:pos="1440" w:leader="none"/>
        </w:tabs>
        <w:snapToGrid w:val="false"/>
        <w:spacing w:lineRule="auto" w:line="276" w:before="120" w:after="120"/>
        <w:jc w:val="both"/>
        <w:rPr>
          <w:rFonts w:cs="Arial"/>
          <w:color w:val="000000"/>
          <w:szCs w:val="20"/>
        </w:rPr>
      </w:pPr>
      <w:r>
        <w:rPr>
          <w:rFonts w:cs="Arial"/>
          <w:color w:val="000000"/>
          <w:szCs w:val="20"/>
        </w:rPr>
        <w:t>inscrição no Registro Público de Empresas Mercantis onde opera, com averbação no Registro onde tem sede a matriz, no caso de ser o participante sucursal, filial ou agência;</w:t>
      </w:r>
    </w:p>
    <w:p>
      <w:pPr>
        <w:pStyle w:val="Normal"/>
        <w:numPr>
          <w:ilvl w:val="1"/>
          <w:numId w:val="3"/>
        </w:numPr>
        <w:tabs>
          <w:tab w:val="left" w:pos="1440" w:leader="none"/>
        </w:tabs>
        <w:snapToGrid w:val="false"/>
        <w:spacing w:lineRule="auto" w:line="276" w:before="120" w:after="120"/>
        <w:jc w:val="both"/>
        <w:rPr>
          <w:rFonts w:cs="Arial"/>
          <w:color w:val="000000"/>
          <w:szCs w:val="20"/>
        </w:rPr>
      </w:pPr>
      <w:r>
        <w:rPr>
          <w:rFonts w:cs="Arial"/>
          <w:color w:val="000000"/>
          <w:szCs w:val="20"/>
        </w:rPr>
        <w:t>No caso de sociedade simples: inscrição do ato constitutivo no Registro Civil das Pessoas Jurídicas do local de sua sede, acompanhada de prova da indicação dos seus administradores;</w:t>
      </w:r>
    </w:p>
    <w:p>
      <w:pPr>
        <w:pStyle w:val="Normal"/>
        <w:numPr>
          <w:ilvl w:val="1"/>
          <w:numId w:val="3"/>
        </w:numPr>
        <w:tabs>
          <w:tab w:val="left" w:pos="1440" w:leader="none"/>
        </w:tabs>
        <w:snapToGrid w:val="false"/>
        <w:spacing w:lineRule="auto" w:line="276" w:before="120" w:after="120"/>
        <w:jc w:val="both"/>
        <w:rPr>
          <w:rFonts w:cs="Arial"/>
          <w:color w:val="000000"/>
          <w:szCs w:val="20"/>
        </w:rPr>
      </w:pPr>
      <w:r>
        <w:rPr>
          <w:rFonts w:cs="Arial"/>
          <w:color w:val="000000"/>
          <w:szCs w:val="20"/>
        </w:rPr>
        <w:t>decreto de autorização, em se tratando de sociedade empresária estrangeira em funcionamento no País.</w:t>
      </w:r>
    </w:p>
    <w:p>
      <w:pPr>
        <w:pStyle w:val="ListParagraph"/>
        <w:numPr>
          <w:ilvl w:val="1"/>
          <w:numId w:val="3"/>
        </w:numPr>
        <w:spacing w:lineRule="auto" w:line="276" w:before="120" w:after="120"/>
        <w:contextualSpacing/>
        <w:jc w:val="both"/>
        <w:rPr>
          <w:rFonts w:cs="Arial"/>
          <w:bCs/>
          <w:color w:val="000000"/>
          <w:szCs w:val="20"/>
        </w:rPr>
      </w:pPr>
      <w:r>
        <w:rPr>
          <w:rFonts w:cs="Arial"/>
          <w:bCs/>
          <w:color w:val="000000"/>
          <w:szCs w:val="20"/>
        </w:rPr>
        <w:t>Os documentos acima deverão estar acompanhados de todas as alterações ou da consolidação respectiva.</w:t>
      </w:r>
    </w:p>
    <w:p>
      <w:pPr>
        <w:pStyle w:val="ListParagraph"/>
        <w:spacing w:lineRule="auto" w:line="276" w:before="120" w:after="120"/>
        <w:ind w:left="1134" w:right="0" w:hanging="0"/>
        <w:contextualSpacing/>
        <w:jc w:val="both"/>
        <w:rPr>
          <w:rFonts w:cs="Arial"/>
          <w:bCs/>
          <w:color w:val="000000"/>
          <w:szCs w:val="20"/>
        </w:rPr>
      </w:pPr>
      <w:r>
        <w:rPr>
          <w:rFonts w:cs="Arial"/>
          <w:bCs/>
          <w:color w:val="000000"/>
          <w:szCs w:val="20"/>
        </w:rPr>
      </w:r>
    </w:p>
    <w:p>
      <w:pPr>
        <w:pStyle w:val="PADRO"/>
        <w:keepNext w:val="false"/>
        <w:widowControl/>
        <w:numPr>
          <w:ilvl w:val="0"/>
          <w:numId w:val="3"/>
        </w:numPr>
        <w:shd w:val="clear" w:fill="FFFFFF"/>
        <w:spacing w:before="120" w:after="120"/>
        <w:rPr>
          <w:rFonts w:ascii="Arial" w:hAnsi="Arial" w:cs="Arial"/>
          <w:b/>
          <w:b/>
          <w:bCs/>
          <w:color w:val="000000"/>
          <w:szCs w:val="20"/>
        </w:rPr>
      </w:pPr>
      <w:r>
        <w:rPr>
          <w:rFonts w:cs="Arial" w:ascii="Arial" w:hAnsi="Arial"/>
          <w:b/>
          <w:bCs/>
          <w:color w:val="000000"/>
          <w:szCs w:val="20"/>
        </w:rPr>
        <w:t xml:space="preserve"> </w:t>
      </w:r>
      <w:r>
        <w:rPr>
          <w:rFonts w:cs="Arial" w:ascii="Arial" w:hAnsi="Arial"/>
          <w:b/>
          <w:bCs/>
          <w:color w:val="000000"/>
          <w:szCs w:val="20"/>
        </w:rPr>
        <w:t>Regularidade fiscal, social e trabalhista:</w:t>
      </w:r>
    </w:p>
    <w:p>
      <w:pPr>
        <w:pStyle w:val="Normal"/>
        <w:numPr>
          <w:ilvl w:val="1"/>
          <w:numId w:val="3"/>
        </w:numPr>
        <w:tabs>
          <w:tab w:val="left" w:pos="1440" w:leader="none"/>
        </w:tabs>
        <w:snapToGrid w:val="false"/>
        <w:spacing w:lineRule="auto" w:line="276" w:before="120" w:after="120"/>
        <w:jc w:val="both"/>
        <w:rPr>
          <w:rFonts w:cs="Arial"/>
          <w:szCs w:val="20"/>
          <w:lang w:eastAsia="en-US"/>
        </w:rPr>
      </w:pPr>
      <w:r>
        <w:rPr>
          <w:rFonts w:cs="Arial"/>
          <w:szCs w:val="20"/>
          <w:lang w:eastAsia="en-US"/>
        </w:rPr>
        <w:t>prova de inscrição no Cadastro Nacional de Pessoas Jurídicas ou no Cadastro de Pessoas Físicas, conforme o caso;</w:t>
      </w:r>
    </w:p>
    <w:p>
      <w:pPr>
        <w:pStyle w:val="Normal"/>
        <w:numPr>
          <w:ilvl w:val="1"/>
          <w:numId w:val="3"/>
        </w:numPr>
        <w:tabs>
          <w:tab w:val="left" w:pos="1440" w:leader="none"/>
        </w:tabs>
        <w:snapToGrid w:val="false"/>
        <w:spacing w:lineRule="auto" w:line="276" w:before="120" w:after="120"/>
        <w:jc w:val="both"/>
        <w:rPr>
          <w:rFonts w:cs="Arial"/>
          <w:szCs w:val="20"/>
        </w:rPr>
      </w:pPr>
      <w:r>
        <w:rPr>
          <w:rFonts w:cs="Arial"/>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numPr>
          <w:ilvl w:val="1"/>
          <w:numId w:val="3"/>
        </w:numPr>
        <w:tabs>
          <w:tab w:val="left" w:pos="1440" w:leader="none"/>
        </w:tabs>
        <w:snapToGrid w:val="false"/>
        <w:spacing w:lineRule="auto" w:line="276" w:before="120" w:after="120"/>
        <w:jc w:val="both"/>
        <w:rPr>
          <w:rFonts w:cs="Arial"/>
          <w:color w:val="000000"/>
          <w:szCs w:val="20"/>
          <w:lang w:eastAsia="en-US"/>
        </w:rPr>
      </w:pPr>
      <w:r>
        <w:rPr>
          <w:rFonts w:cs="Arial"/>
          <w:color w:val="000000"/>
          <w:szCs w:val="20"/>
          <w:lang w:eastAsia="en-US"/>
        </w:rPr>
        <w:t>prova de regularidade com o Fundo de Garantia do Tempo de Serviço (FGTS);</w:t>
      </w:r>
    </w:p>
    <w:p>
      <w:pPr>
        <w:pStyle w:val="Normal"/>
        <w:numPr>
          <w:ilvl w:val="1"/>
          <w:numId w:val="3"/>
        </w:numPr>
        <w:tabs>
          <w:tab w:val="left" w:pos="1440" w:leader="none"/>
        </w:tabs>
        <w:snapToGrid w:val="false"/>
        <w:spacing w:lineRule="auto" w:line="276" w:before="120" w:after="120"/>
        <w:jc w:val="both"/>
        <w:rPr>
          <w:rFonts w:cs="Arial"/>
          <w:szCs w:val="20"/>
          <w:lang w:eastAsia="en-US"/>
        </w:rPr>
      </w:pPr>
      <w:r>
        <w:rPr>
          <w:rFonts w:cs="Arial"/>
          <w:szCs w:val="20"/>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numPr>
          <w:ilvl w:val="1"/>
          <w:numId w:val="3"/>
        </w:numPr>
        <w:tabs>
          <w:tab w:val="left" w:pos="1440" w:leader="none"/>
        </w:tabs>
        <w:snapToGrid w:val="false"/>
        <w:spacing w:lineRule="auto" w:line="276" w:before="120" w:after="120"/>
        <w:jc w:val="both"/>
        <w:rPr/>
      </w:pPr>
      <w:r>
        <w:rPr>
          <w:rFonts w:cs="Arial"/>
          <w:bCs/>
          <w:szCs w:val="20"/>
        </w:rPr>
        <w:t xml:space="preserve">prova de </w:t>
      </w:r>
      <w:r>
        <w:rPr>
          <w:rFonts w:cs="Arial"/>
          <w:color w:val="000000"/>
          <w:szCs w:val="20"/>
        </w:rPr>
        <w:t xml:space="preserve">inscrição no cadastro de contribuintes </w:t>
      </w:r>
      <w:r>
        <w:rPr>
          <w:rFonts w:cs="Arial"/>
          <w:i/>
          <w:iCs/>
          <w:color w:val="000000"/>
          <w:szCs w:val="20"/>
        </w:rPr>
        <w:t>estadual e/ou municipal</w:t>
      </w:r>
      <w:r>
        <w:rPr>
          <w:rFonts w:cs="Arial"/>
          <w:color w:val="000000"/>
          <w:szCs w:val="20"/>
        </w:rPr>
        <w:t>, relativo ao domicílio ou sede do fornecedor, pertinente ao seu ramo de atividade e compatível com o objeto contratual</w:t>
      </w:r>
      <w:r>
        <w:rPr>
          <w:rFonts w:cs="Arial"/>
          <w:bCs/>
          <w:szCs w:val="20"/>
        </w:rPr>
        <w:t xml:space="preserve">; </w:t>
      </w:r>
    </w:p>
    <w:p>
      <w:pPr>
        <w:pStyle w:val="Normal"/>
        <w:numPr>
          <w:ilvl w:val="1"/>
          <w:numId w:val="3"/>
        </w:numPr>
        <w:tabs>
          <w:tab w:val="left" w:pos="1440" w:leader="none"/>
        </w:tabs>
        <w:snapToGrid w:val="false"/>
        <w:spacing w:lineRule="auto" w:line="276" w:before="120" w:after="120"/>
        <w:jc w:val="both"/>
        <w:rPr/>
      </w:pPr>
      <w:r>
        <w:rPr>
          <w:rFonts w:cs="Arial"/>
          <w:szCs w:val="20"/>
        </w:rPr>
        <w:t xml:space="preserve">prova de regularidade com a Fazenda </w:t>
      </w:r>
      <w:r>
        <w:rPr>
          <w:rFonts w:cs="Arial"/>
          <w:i/>
          <w:iCs/>
          <w:color w:val="000000"/>
          <w:szCs w:val="20"/>
        </w:rPr>
        <w:t xml:space="preserve">Estadual e/ou Municipal </w:t>
      </w:r>
      <w:r>
        <w:rPr>
          <w:rFonts w:cs="Arial"/>
          <w:szCs w:val="20"/>
        </w:rPr>
        <w:t xml:space="preserve">do domicílio ou sede do fornecedor, relativa à atividade em cujo exercício contrata ou concorre; </w:t>
      </w:r>
    </w:p>
    <w:p>
      <w:pPr>
        <w:pStyle w:val="Normal"/>
        <w:numPr>
          <w:ilvl w:val="1"/>
          <w:numId w:val="3"/>
        </w:numPr>
        <w:tabs>
          <w:tab w:val="left" w:pos="1440" w:leader="none"/>
        </w:tabs>
        <w:snapToGrid w:val="false"/>
        <w:spacing w:lineRule="auto" w:line="276" w:before="120" w:after="120"/>
        <w:jc w:val="both"/>
        <w:rPr/>
      </w:pPr>
      <w:r>
        <w:rPr>
          <w:rFonts w:cs="Arial"/>
          <w:szCs w:val="20"/>
        </w:rPr>
        <w:t xml:space="preserve">caso o fornecedor seja considerado isento dos tributos </w:t>
      </w:r>
      <w:r>
        <w:rPr>
          <w:rFonts w:cs="Arial"/>
          <w:i/>
          <w:color w:val="000000"/>
          <w:szCs w:val="20"/>
        </w:rPr>
        <w:t xml:space="preserve">estaduais </w:t>
      </w:r>
      <w:r>
        <w:rPr>
          <w:rFonts w:cs="Arial"/>
          <w:b/>
          <w:i/>
          <w:color w:val="000000"/>
          <w:szCs w:val="20"/>
          <w:u w:val="single"/>
        </w:rPr>
        <w:t xml:space="preserve">ou </w:t>
      </w:r>
      <w:r>
        <w:rPr>
          <w:rFonts w:cs="Arial"/>
          <w:i/>
          <w:color w:val="000000"/>
          <w:szCs w:val="20"/>
        </w:rPr>
        <w:t xml:space="preserve">municipais  </w:t>
      </w:r>
      <w:r>
        <w:rPr>
          <w:rFonts w:cs="Arial"/>
          <w:szCs w:val="20"/>
        </w:rPr>
        <w:t xml:space="preserve">relacionados ao objeto contratual, deverá comprovar tal condição mediante a apresentação de declaração da Fazenda respectiva do seu domicílio ou sede, ou outra equivalente, na forma da lei; </w:t>
      </w:r>
    </w:p>
    <w:p>
      <w:pPr>
        <w:pStyle w:val="PADRO"/>
        <w:keepNext w:val="false"/>
        <w:widowControl/>
        <w:numPr>
          <w:ilvl w:val="0"/>
          <w:numId w:val="3"/>
        </w:numPr>
        <w:shd w:val="clear" w:fill="FFFFFF"/>
        <w:spacing w:before="120" w:after="120"/>
        <w:rPr>
          <w:rFonts w:ascii="Arial" w:hAnsi="Arial" w:cs="Arial"/>
          <w:b/>
          <w:b/>
          <w:color w:val="000000"/>
          <w:szCs w:val="20"/>
        </w:rPr>
      </w:pPr>
      <w:r>
        <w:rPr>
          <w:rFonts w:cs="Arial" w:ascii="Arial" w:hAnsi="Arial"/>
          <w:b/>
          <w:color w:val="000000"/>
          <w:szCs w:val="20"/>
        </w:rPr>
        <w:t>Qualificação Econômico-Financeira:</w:t>
      </w:r>
    </w:p>
    <w:p>
      <w:pPr>
        <w:pStyle w:val="ListParagraph"/>
        <w:numPr>
          <w:ilvl w:val="1"/>
          <w:numId w:val="3"/>
        </w:numPr>
        <w:tabs>
          <w:tab w:val="left" w:pos="1440" w:leader="none"/>
        </w:tabs>
        <w:snapToGrid w:val="false"/>
        <w:spacing w:lineRule="auto" w:line="276" w:before="120" w:after="120"/>
        <w:contextualSpacing/>
        <w:jc w:val="both"/>
        <w:rPr>
          <w:rFonts w:cs="Arial"/>
          <w:color w:val="000000"/>
          <w:szCs w:val="20"/>
        </w:rPr>
      </w:pPr>
      <w:r>
        <w:rPr>
          <w:rFonts w:cs="Arial"/>
          <w:color w:val="000000"/>
          <w:szCs w:val="20"/>
        </w:rPr>
        <w:t>certidão negativa de falência expedida pelo distribuidor da sede do fornecedor;</w:t>
      </w:r>
    </w:p>
    <w:p>
      <w:pPr>
        <w:pStyle w:val="Normal"/>
        <w:numPr>
          <w:ilvl w:val="1"/>
          <w:numId w:val="3"/>
        </w:numPr>
        <w:tabs>
          <w:tab w:val="left" w:pos="1440" w:leader="none"/>
        </w:tabs>
        <w:snapToGrid w:val="false"/>
        <w:spacing w:lineRule="auto" w:line="276" w:before="120" w:after="120"/>
        <w:jc w:val="both"/>
        <w:rPr>
          <w:rFonts w:cs="Arial"/>
          <w:color w:val="000000"/>
          <w:szCs w:val="20"/>
        </w:rPr>
      </w:pPr>
      <w:r>
        <w:rPr>
          <w:rFonts w:cs="Arial"/>
          <w:color w:val="000000"/>
          <w:szCs w:val="20"/>
        </w:rPr>
        <w:t>balanço patrimonial, demonstração de resultado de exercício e demais demonstrações contábeis dos 2 (dois) últimos exercícios sociais;</w:t>
      </w:r>
    </w:p>
    <w:p>
      <w:pPr>
        <w:pStyle w:val="Normal"/>
        <w:numPr>
          <w:ilvl w:val="2"/>
          <w:numId w:val="3"/>
        </w:numPr>
        <w:spacing w:lineRule="auto" w:line="276" w:before="120" w:after="120"/>
        <w:jc w:val="both"/>
        <w:rPr>
          <w:rFonts w:cs="Arial"/>
          <w:color w:val="000000"/>
          <w:szCs w:val="20"/>
        </w:rPr>
      </w:pPr>
      <w:r>
        <w:rPr>
          <w:rFonts w:cs="Arial"/>
          <w:color w:val="000000"/>
          <w:szCs w:val="20"/>
        </w:rPr>
        <w:t>As empresas criadas no exercício financeiro da dispensa deverão atender a todas as exigências da habilitação e poderão substituir os demonstrativos contábeis pelo balanço de abertura.</w:t>
      </w:r>
    </w:p>
    <w:p>
      <w:pPr>
        <w:pStyle w:val="Normal"/>
        <w:numPr>
          <w:ilvl w:val="2"/>
          <w:numId w:val="3"/>
        </w:numPr>
        <w:spacing w:lineRule="auto" w:line="276" w:before="120" w:after="120"/>
        <w:jc w:val="both"/>
        <w:rPr>
          <w:rFonts w:cs="Arial"/>
          <w:color w:val="000000"/>
          <w:szCs w:val="20"/>
        </w:rPr>
      </w:pPr>
      <w:r>
        <w:rPr>
          <w:rFonts w:cs="Arial"/>
          <w:color w:val="000000"/>
          <w:szCs w:val="20"/>
        </w:rPr>
        <w:t>Os documentos referidos acima limitar-se-ão ao último exercício no caso de a pessoa jurídica ter sido constituída há menos de 2 (dois) anos.</w:t>
      </w:r>
    </w:p>
    <w:p>
      <w:pPr>
        <w:pStyle w:val="Normal"/>
        <w:numPr>
          <w:ilvl w:val="1"/>
          <w:numId w:val="3"/>
        </w:numPr>
        <w:tabs>
          <w:tab w:val="left" w:pos="1440" w:leader="none"/>
        </w:tabs>
        <w:snapToGrid w:val="false"/>
        <w:spacing w:lineRule="auto" w:line="276" w:before="120" w:after="120"/>
        <w:jc w:val="both"/>
        <w:rPr>
          <w:rFonts w:cs="Arial"/>
          <w:color w:val="000000"/>
          <w:szCs w:val="20"/>
        </w:rPr>
      </w:pPr>
      <w:r>
        <w:rPr>
          <w:rFonts w:cs="Arial"/>
          <w:color w:val="000000"/>
          <w:szCs w:val="20"/>
        </w:rPr>
        <w:t xml:space="preserve">comprovação da boa situação financeira da empresa mediante obtenção de índices de Liquidez Geral (LG), Solvência Geral (SG) e Liquidez Corrente (LC), superiores a 1 (um), obtidos pela aplicação das seguintes fórmulas: </w:t>
      </w:r>
    </w:p>
    <w:tbl>
      <w:tblPr>
        <w:tblW w:w="6487" w:type="dxa"/>
        <w:jc w:val="left"/>
        <w:tblInd w:w="999" w:type="dxa"/>
        <w:tblBorders/>
        <w:tblCellMar>
          <w:top w:w="0" w:type="dxa"/>
          <w:left w:w="133" w:type="dxa"/>
          <w:bottom w:w="0" w:type="dxa"/>
          <w:right w:w="108" w:type="dxa"/>
        </w:tblCellMar>
      </w:tblPr>
      <w:tblGrid>
        <w:gridCol w:w="2234"/>
        <w:gridCol w:w="4252"/>
      </w:tblGrid>
      <w:tr>
        <w:trPr/>
        <w:tc>
          <w:tcPr>
            <w:tcW w:w="2234" w:type="dxa"/>
            <w:vMerge w:val="restart"/>
            <w:tcBorders/>
            <w:shd w:fill="auto" w:val="clear"/>
            <w:vAlign w:val="center"/>
          </w:tcPr>
          <w:p>
            <w:pPr>
              <w:pStyle w:val="Normal"/>
              <w:tabs>
                <w:tab w:val="left" w:pos="1440" w:leader="none"/>
              </w:tabs>
              <w:snapToGrid w:val="false"/>
              <w:spacing w:lineRule="auto" w:line="276" w:before="0" w:after="0"/>
              <w:jc w:val="both"/>
              <w:rPr>
                <w:rFonts w:ascii="Times New Roman" w:hAnsi="Times New Roman" w:cs="Arial"/>
                <w:color w:val="000000"/>
                <w:szCs w:val="20"/>
              </w:rPr>
            </w:pPr>
            <w:r>
              <w:rPr>
                <w:rFonts w:cs="Arial" w:ascii="Times New Roman" w:hAnsi="Times New Roman"/>
                <w:color w:val="000000"/>
                <w:szCs w:val="20"/>
              </w:rPr>
              <w:t>LG =</w:t>
            </w:r>
          </w:p>
        </w:tc>
        <w:tc>
          <w:tcPr>
            <w:tcW w:w="4252" w:type="dxa"/>
            <w:tcBorders>
              <w:bottom w:val="single" w:sz="4" w:space="0" w:color="000000"/>
              <w:insideH w:val="single" w:sz="4" w:space="0" w:color="000000"/>
            </w:tcBorders>
            <w:shd w:fill="auto" w:val="clear"/>
            <w:vAlign w:val="bottom"/>
          </w:tcPr>
          <w:p>
            <w:pPr>
              <w:pStyle w:val="Normal"/>
              <w:tabs>
                <w:tab w:val="left" w:pos="1440" w:leader="none"/>
              </w:tabs>
              <w:snapToGrid w:val="false"/>
              <w:spacing w:lineRule="auto" w:line="276" w:before="0" w:after="0"/>
              <w:jc w:val="both"/>
              <w:rPr>
                <w:rFonts w:ascii="Times New Roman" w:hAnsi="Times New Roman" w:cs="Arial"/>
                <w:color w:val="000000"/>
                <w:szCs w:val="20"/>
              </w:rPr>
            </w:pPr>
            <w:r>
              <w:rPr>
                <w:rFonts w:cs="Arial" w:ascii="Times New Roman" w:hAnsi="Times New Roman"/>
                <w:color w:val="000000"/>
                <w:szCs w:val="20"/>
              </w:rPr>
              <w:t>Ativo Circulante + Realizável a Longo Prazo</w:t>
            </w:r>
          </w:p>
        </w:tc>
      </w:tr>
      <w:tr>
        <w:trPr/>
        <w:tc>
          <w:tcPr>
            <w:tcW w:w="2234" w:type="dxa"/>
            <w:vMerge w:val="continue"/>
            <w:tcBorders/>
            <w:shd w:fill="auto" w:val="clear"/>
            <w:vAlign w:val="center"/>
          </w:tcPr>
          <w:p>
            <w:pPr>
              <w:pStyle w:val="Normal"/>
              <w:rPr/>
            </w:pPr>
            <w:r>
              <w:rPr/>
            </w:r>
          </w:p>
        </w:tc>
        <w:tc>
          <w:tcPr>
            <w:tcW w:w="4252" w:type="dxa"/>
            <w:tcBorders/>
            <w:shd w:fill="auto" w:val="clear"/>
          </w:tcPr>
          <w:p>
            <w:pPr>
              <w:pStyle w:val="Normal"/>
              <w:tabs>
                <w:tab w:val="left" w:pos="1440" w:leader="none"/>
              </w:tabs>
              <w:snapToGrid w:val="false"/>
              <w:spacing w:lineRule="auto" w:line="276" w:before="0" w:after="0"/>
              <w:jc w:val="both"/>
              <w:rPr>
                <w:rFonts w:ascii="Times New Roman" w:hAnsi="Times New Roman" w:cs="Arial"/>
                <w:color w:val="000000"/>
                <w:szCs w:val="20"/>
              </w:rPr>
            </w:pPr>
            <w:r>
              <w:rPr>
                <w:rFonts w:cs="Arial" w:ascii="Times New Roman" w:hAnsi="Times New Roman"/>
                <w:color w:val="000000"/>
                <w:szCs w:val="20"/>
              </w:rPr>
              <w:t>Passivo Circulante + Passivo Não Circulante</w:t>
            </w:r>
          </w:p>
        </w:tc>
      </w:tr>
    </w:tbl>
    <w:p>
      <w:pPr>
        <w:pStyle w:val="Normal"/>
        <w:tabs>
          <w:tab w:val="left" w:pos="1440" w:leader="none"/>
        </w:tabs>
        <w:snapToGrid w:val="false"/>
        <w:spacing w:lineRule="auto" w:line="276"/>
        <w:ind w:left="1134" w:right="0" w:hanging="0"/>
        <w:jc w:val="both"/>
        <w:rPr>
          <w:rFonts w:cs="Arial"/>
          <w:color w:val="000000"/>
          <w:szCs w:val="20"/>
        </w:rPr>
      </w:pPr>
      <w:r>
        <w:rPr>
          <w:rFonts w:cs="Arial"/>
          <w:color w:val="000000"/>
          <w:szCs w:val="20"/>
        </w:rPr>
      </w:r>
    </w:p>
    <w:tbl>
      <w:tblPr>
        <w:tblW w:w="6629" w:type="dxa"/>
        <w:jc w:val="left"/>
        <w:tblInd w:w="999" w:type="dxa"/>
        <w:tblBorders/>
        <w:tblCellMar>
          <w:top w:w="0" w:type="dxa"/>
          <w:left w:w="133" w:type="dxa"/>
          <w:bottom w:w="0" w:type="dxa"/>
          <w:right w:w="108" w:type="dxa"/>
        </w:tblCellMar>
      </w:tblPr>
      <w:tblGrid>
        <w:gridCol w:w="2233"/>
        <w:gridCol w:w="4395"/>
      </w:tblGrid>
      <w:tr>
        <w:trPr>
          <w:cantSplit w:val="true"/>
        </w:trPr>
        <w:tc>
          <w:tcPr>
            <w:tcW w:w="2233" w:type="dxa"/>
            <w:vMerge w:val="restart"/>
            <w:tcBorders/>
            <w:shd w:fill="auto" w:val="clear"/>
            <w:vAlign w:val="center"/>
          </w:tcPr>
          <w:p>
            <w:pPr>
              <w:pStyle w:val="Normal"/>
              <w:tabs>
                <w:tab w:val="left" w:pos="1440" w:leader="none"/>
              </w:tabs>
              <w:snapToGrid w:val="false"/>
              <w:spacing w:lineRule="auto" w:line="276" w:before="0" w:after="0"/>
              <w:jc w:val="both"/>
              <w:rPr>
                <w:rFonts w:ascii="Times New Roman" w:hAnsi="Times New Roman" w:cs="Arial"/>
                <w:color w:val="000000"/>
                <w:szCs w:val="20"/>
              </w:rPr>
            </w:pPr>
            <w:r>
              <w:rPr>
                <w:rFonts w:cs="Arial" w:ascii="Times New Roman" w:hAnsi="Times New Roman"/>
                <w:color w:val="000000"/>
                <w:szCs w:val="20"/>
              </w:rPr>
              <w:t>SG =</w:t>
            </w:r>
          </w:p>
        </w:tc>
        <w:tc>
          <w:tcPr>
            <w:tcW w:w="4395" w:type="dxa"/>
            <w:tcBorders>
              <w:bottom w:val="single" w:sz="4" w:space="0" w:color="000000"/>
              <w:insideH w:val="single" w:sz="4" w:space="0" w:color="000000"/>
            </w:tcBorders>
            <w:shd w:fill="auto" w:val="clear"/>
            <w:vAlign w:val="bottom"/>
          </w:tcPr>
          <w:p>
            <w:pPr>
              <w:pStyle w:val="Normal"/>
              <w:tabs>
                <w:tab w:val="left" w:pos="1440" w:leader="none"/>
              </w:tabs>
              <w:snapToGrid w:val="false"/>
              <w:spacing w:lineRule="auto" w:line="276" w:before="0" w:after="0"/>
              <w:jc w:val="both"/>
              <w:rPr>
                <w:rFonts w:ascii="Times New Roman" w:hAnsi="Times New Roman" w:cs="Arial"/>
                <w:color w:val="000000"/>
                <w:szCs w:val="20"/>
              </w:rPr>
            </w:pPr>
            <w:r>
              <w:rPr>
                <w:rFonts w:cs="Arial" w:ascii="Times New Roman" w:hAnsi="Times New Roman"/>
                <w:color w:val="000000"/>
                <w:szCs w:val="20"/>
              </w:rPr>
              <w:t>Ativo Total</w:t>
            </w:r>
          </w:p>
        </w:tc>
      </w:tr>
      <w:tr>
        <w:trPr>
          <w:cantSplit w:val="true"/>
        </w:trPr>
        <w:tc>
          <w:tcPr>
            <w:tcW w:w="2233" w:type="dxa"/>
            <w:vMerge w:val="continue"/>
            <w:tcBorders/>
            <w:shd w:fill="auto" w:val="clear"/>
            <w:vAlign w:val="center"/>
          </w:tcPr>
          <w:p>
            <w:pPr>
              <w:pStyle w:val="Normal"/>
              <w:rPr/>
            </w:pPr>
            <w:r>
              <w:rPr/>
            </w:r>
          </w:p>
        </w:tc>
        <w:tc>
          <w:tcPr>
            <w:tcW w:w="4395" w:type="dxa"/>
            <w:tcBorders/>
            <w:shd w:fill="auto" w:val="clear"/>
          </w:tcPr>
          <w:p>
            <w:pPr>
              <w:pStyle w:val="Normal"/>
              <w:tabs>
                <w:tab w:val="left" w:pos="1440" w:leader="none"/>
              </w:tabs>
              <w:snapToGrid w:val="false"/>
              <w:spacing w:lineRule="auto" w:line="276" w:before="0" w:after="0"/>
              <w:jc w:val="both"/>
              <w:rPr>
                <w:rFonts w:ascii="Times New Roman" w:hAnsi="Times New Roman" w:cs="Arial"/>
                <w:color w:val="000000"/>
                <w:szCs w:val="20"/>
              </w:rPr>
            </w:pPr>
            <w:r>
              <w:rPr>
                <w:rFonts w:cs="Arial" w:ascii="Times New Roman" w:hAnsi="Times New Roman"/>
                <w:color w:val="000000"/>
                <w:szCs w:val="20"/>
              </w:rPr>
              <w:t>Passivo Circulante + Passivo Não Circulante</w:t>
            </w:r>
          </w:p>
        </w:tc>
      </w:tr>
    </w:tbl>
    <w:p>
      <w:pPr>
        <w:pStyle w:val="Normal"/>
        <w:tabs>
          <w:tab w:val="left" w:pos="1440" w:leader="none"/>
        </w:tabs>
        <w:snapToGrid w:val="false"/>
        <w:spacing w:lineRule="auto" w:line="276"/>
        <w:ind w:left="1134" w:right="0" w:hanging="0"/>
        <w:jc w:val="both"/>
        <w:rPr>
          <w:rFonts w:cs="Arial"/>
          <w:color w:val="000000"/>
          <w:szCs w:val="20"/>
        </w:rPr>
      </w:pPr>
      <w:r>
        <w:rPr>
          <w:rFonts w:cs="Arial"/>
          <w:color w:val="000000"/>
          <w:szCs w:val="20"/>
        </w:rPr>
      </w:r>
    </w:p>
    <w:tbl>
      <w:tblPr>
        <w:tblW w:w="4786" w:type="dxa"/>
        <w:jc w:val="left"/>
        <w:tblInd w:w="999" w:type="dxa"/>
        <w:tblBorders/>
        <w:tblCellMar>
          <w:top w:w="0" w:type="dxa"/>
          <w:left w:w="133" w:type="dxa"/>
          <w:bottom w:w="0" w:type="dxa"/>
          <w:right w:w="108" w:type="dxa"/>
        </w:tblCellMar>
      </w:tblPr>
      <w:tblGrid>
        <w:gridCol w:w="2235"/>
        <w:gridCol w:w="2550"/>
      </w:tblGrid>
      <w:tr>
        <w:trPr/>
        <w:tc>
          <w:tcPr>
            <w:tcW w:w="2235" w:type="dxa"/>
            <w:vMerge w:val="restart"/>
            <w:tcBorders/>
            <w:shd w:fill="auto" w:val="clear"/>
            <w:vAlign w:val="center"/>
          </w:tcPr>
          <w:p>
            <w:pPr>
              <w:pStyle w:val="Normal"/>
              <w:tabs>
                <w:tab w:val="left" w:pos="1440" w:leader="none"/>
              </w:tabs>
              <w:snapToGrid w:val="false"/>
              <w:spacing w:lineRule="auto" w:line="276" w:before="0" w:after="0"/>
              <w:jc w:val="both"/>
              <w:rPr>
                <w:rFonts w:ascii="Times New Roman" w:hAnsi="Times New Roman" w:cs="Arial"/>
                <w:color w:val="000000"/>
                <w:szCs w:val="20"/>
              </w:rPr>
            </w:pPr>
            <w:r>
              <w:rPr>
                <w:rFonts w:cs="Arial" w:ascii="Times New Roman" w:hAnsi="Times New Roman"/>
                <w:color w:val="000000"/>
                <w:szCs w:val="20"/>
              </w:rPr>
              <w:t>LC =</w:t>
            </w:r>
          </w:p>
        </w:tc>
        <w:tc>
          <w:tcPr>
            <w:tcW w:w="2550" w:type="dxa"/>
            <w:tcBorders>
              <w:bottom w:val="single" w:sz="4" w:space="0" w:color="000000"/>
              <w:insideH w:val="single" w:sz="4" w:space="0" w:color="000000"/>
            </w:tcBorders>
            <w:shd w:fill="auto" w:val="clear"/>
            <w:vAlign w:val="bottom"/>
          </w:tcPr>
          <w:p>
            <w:pPr>
              <w:pStyle w:val="Normal"/>
              <w:tabs>
                <w:tab w:val="left" w:pos="1440" w:leader="none"/>
              </w:tabs>
              <w:snapToGrid w:val="false"/>
              <w:spacing w:lineRule="auto" w:line="276" w:before="0" w:after="0"/>
              <w:jc w:val="both"/>
              <w:rPr>
                <w:rFonts w:ascii="Times New Roman" w:hAnsi="Times New Roman" w:cs="Arial"/>
                <w:color w:val="000000"/>
                <w:szCs w:val="20"/>
              </w:rPr>
            </w:pPr>
            <w:r>
              <w:rPr>
                <w:rFonts w:cs="Arial" w:ascii="Times New Roman" w:hAnsi="Times New Roman"/>
                <w:color w:val="000000"/>
                <w:szCs w:val="20"/>
              </w:rPr>
              <w:t>Ativo Circulante</w:t>
            </w:r>
          </w:p>
        </w:tc>
      </w:tr>
      <w:tr>
        <w:trPr/>
        <w:tc>
          <w:tcPr>
            <w:tcW w:w="2235" w:type="dxa"/>
            <w:vMerge w:val="continue"/>
            <w:tcBorders/>
            <w:shd w:fill="auto" w:val="clear"/>
            <w:vAlign w:val="center"/>
          </w:tcPr>
          <w:p>
            <w:pPr>
              <w:pStyle w:val="Normal"/>
              <w:rPr/>
            </w:pPr>
            <w:r>
              <w:rPr/>
            </w:r>
          </w:p>
        </w:tc>
        <w:tc>
          <w:tcPr>
            <w:tcW w:w="2550" w:type="dxa"/>
            <w:tcBorders/>
            <w:shd w:fill="auto" w:val="clear"/>
          </w:tcPr>
          <w:p>
            <w:pPr>
              <w:pStyle w:val="Normal"/>
              <w:tabs>
                <w:tab w:val="left" w:pos="1440" w:leader="none"/>
              </w:tabs>
              <w:snapToGrid w:val="false"/>
              <w:spacing w:lineRule="auto" w:line="276" w:before="0" w:after="0"/>
              <w:jc w:val="both"/>
              <w:rPr>
                <w:rFonts w:ascii="Times New Roman" w:hAnsi="Times New Roman" w:cs="Arial"/>
                <w:color w:val="000000"/>
                <w:szCs w:val="20"/>
              </w:rPr>
            </w:pPr>
            <w:r>
              <w:rPr>
                <w:rFonts w:cs="Arial" w:ascii="Times New Roman" w:hAnsi="Times New Roman"/>
                <w:color w:val="000000"/>
                <w:szCs w:val="20"/>
              </w:rPr>
              <w:t>Passivo Circulante</w:t>
            </w:r>
          </w:p>
        </w:tc>
      </w:tr>
    </w:tbl>
    <w:p>
      <w:pPr>
        <w:pStyle w:val="Normal"/>
        <w:numPr>
          <w:ilvl w:val="2"/>
          <w:numId w:val="3"/>
        </w:numPr>
        <w:tabs>
          <w:tab w:val="left" w:pos="1440" w:leader="none"/>
        </w:tabs>
        <w:snapToGrid w:val="false"/>
        <w:spacing w:lineRule="auto" w:line="276" w:before="120" w:after="120"/>
        <w:jc w:val="both"/>
        <w:rPr/>
      </w:pPr>
      <w:r>
        <w:rPr>
          <w:rFonts w:cs="Arial"/>
          <w:color w:val="000000"/>
          <w:szCs w:val="20"/>
        </w:rPr>
        <w:t>As empresas, que apresentarem resultado inferior ou igual a 1(um) em qualquer dos índices de Liquidez Geral (LG), Solvência Geral (SG) e Liquidez Corrente (LC), deverão comprovar capital ou patrimônio líquido mínimo de</w:t>
      </w:r>
      <w:r>
        <w:rPr>
          <w:rFonts w:cs="Arial"/>
          <w:i/>
          <w:iCs/>
          <w:color w:val="000000"/>
          <w:szCs w:val="20"/>
        </w:rPr>
        <w:t xml:space="preserve">5% (cinco por cento) </w:t>
      </w:r>
      <w:r>
        <w:rPr>
          <w:rFonts w:cs="Arial"/>
          <w:color w:val="000000"/>
          <w:szCs w:val="20"/>
        </w:rPr>
        <w:t xml:space="preserve">do valor total estimado da contratação ou do item pertinente. </w:t>
      </w:r>
    </w:p>
    <w:p>
      <w:pPr>
        <w:pStyle w:val="PADRO"/>
        <w:keepNext w:val="false"/>
        <w:widowControl/>
        <w:shd w:val="clear" w:fill="FFFFFF"/>
        <w:spacing w:before="120" w:after="120"/>
        <w:ind w:left="2421" w:right="0" w:hanging="0"/>
        <w:rPr/>
      </w:pPr>
      <w:r>
        <w:rPr/>
      </w:r>
    </w:p>
    <w:sectPr>
      <w:footerReference w:type="default" r:id="rId6"/>
      <w:type w:val="nextPage"/>
      <w:pgSz w:w="11906" w:h="16838"/>
      <w:pgMar w:left="1701" w:right="1701" w:header="0" w:top="1417" w:footer="708" w:bottom="1417"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Arial">
    <w:charset w:val="01"/>
    <w:family w:val="roman"/>
    <w:pitch w:val="variable"/>
  </w:font>
  <w:font w:name="Calibri Light">
    <w:charset w:val="01"/>
    <w:family w:val="roman"/>
    <w:pitch w:val="variable"/>
  </w:font>
  <w:font w:name="Ecofont_Spranq_eco_Sans">
    <w:charset w:val="01"/>
    <w:family w:val="roman"/>
    <w:pitch w:val="variable"/>
  </w:font>
  <w:font w:name="Segoe UI">
    <w:charset w:val="01"/>
    <w:family w:val="roman"/>
    <w:pitch w:val="variable"/>
  </w:font>
  <w:font w:name="Liberation Mono">
    <w:altName w:val="Courier New"/>
    <w:charset w:val="01"/>
    <w:family w:val="roman"/>
    <w:pitch w:val="variable"/>
  </w:font>
  <w:font w:name="Liberation Sans">
    <w:altName w:val="Arial"/>
    <w:charset w:val="01"/>
    <w:family w:val="roman"/>
    <w:pitch w:val="variable"/>
  </w:font>
  <w:font w:name="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sz w:val="12"/>
        <w:szCs w:val="12"/>
      </w:rPr>
    </w:pPr>
    <w:r>
      <w:rPr>
        <w:sz w:val="12"/>
        <w:szCs w:val="12"/>
      </w:rPr>
      <w:t>Câmara Nacional de Modelos de Licitações e Contratos – CNMLC/CGU/AGU</w:t>
    </w:r>
  </w:p>
  <w:p>
    <w:pPr>
      <w:pStyle w:val="Rodap"/>
      <w:rPr>
        <w:sz w:val="12"/>
        <w:szCs w:val="12"/>
      </w:rPr>
    </w:pPr>
    <w:r>
      <w:rPr>
        <w:sz w:val="12"/>
        <w:szCs w:val="12"/>
      </w:rPr>
      <w:t>Aviso de Dispensa Eletrônica – Lei nº 14.133/21 e IN SEGES/ME nº 67/2021</w:t>
    </w:r>
  </w:p>
  <w:p>
    <w:pPr>
      <w:pStyle w:val="Rodap"/>
      <w:rPr>
        <w:sz w:val="12"/>
        <w:szCs w:val="12"/>
      </w:rPr>
    </w:pPr>
    <w:r>
      <w:rPr>
        <w:sz w:val="12"/>
        <w:szCs w:val="12"/>
      </w:rPr>
      <w:t>Versão: Agosto/2021</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lvl>
    <w:lvl w:ilvl="1">
      <w:start w:val="1"/>
      <w:numFmt w:val="decimal"/>
      <w:lvlText w:val="%1.%2."/>
      <w:lvlJc w:val="left"/>
      <w:pPr>
        <w:tabs>
          <w:tab w:val="num" w:pos="1080"/>
        </w:tabs>
        <w:ind w:left="1080" w:hanging="360"/>
      </w:pPr>
      <w:rPr/>
    </w:lvl>
    <w:lvl w:ilvl="2">
      <w:start w:val="1"/>
      <w:numFmt w:val="decimal"/>
      <w:lvlText w:val="%1.%2.%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4"/>
      <w:numFmt w:val="decimal"/>
      <w:lvlText w:val="%1"/>
      <w:lvlJc w:val="left"/>
      <w:pPr>
        <w:ind w:left="435" w:hanging="435"/>
      </w:pPr>
    </w:lvl>
    <w:lvl w:ilvl="1">
      <w:start w:val="4"/>
      <w:numFmt w:val="decimal"/>
      <w:lvlText w:val="%1.%2"/>
      <w:lvlJc w:val="left"/>
      <w:pPr>
        <w:ind w:left="1002" w:hanging="435"/>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3">
    <w:lvl w:ilvl="0">
      <w:start w:val="1"/>
      <w:numFmt w:val="decimal"/>
      <w:lvlText w:val="%1"/>
      <w:lvlJc w:val="left"/>
      <w:pPr>
        <w:ind w:left="360" w:hanging="360"/>
      </w:pPr>
    </w:lvl>
    <w:lvl w:ilvl="1">
      <w:start w:val="1"/>
      <w:numFmt w:val="decimal"/>
      <w:lvlText w:val="%1.%2"/>
      <w:lvlJc w:val="left"/>
      <w:pPr>
        <w:ind w:left="927" w:hanging="360"/>
      </w:pPr>
      <w:rPr>
        <w:b/>
      </w:rPr>
    </w:lvl>
    <w:lvl w:ilvl="2">
      <w:start w:val="1"/>
      <w:numFmt w:val="decimal"/>
      <w:lvlText w:val="%1.%2.%3"/>
      <w:lvlJc w:val="left"/>
      <w:pPr>
        <w:ind w:left="1854" w:hanging="720"/>
      </w:pPr>
      <w:rPr>
        <w:b w:val="false"/>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
    <w:lvl w:ilvl="0">
      <w:start w:val="1"/>
      <w:numFmt w:val="decimal"/>
      <w:lvlText w:val="%1."/>
      <w:lvlJc w:val="left"/>
      <w:pPr>
        <w:ind w:left="360" w:hanging="360"/>
      </w:pPr>
      <w:rPr>
        <w:b/>
      </w:rPr>
    </w:lvl>
    <w:lvl w:ilvl="1">
      <w:start w:val="1"/>
      <w:numFmt w:val="decimal"/>
      <w:lvlText w:val="%1.%2."/>
      <w:lvlJc w:val="left"/>
      <w:pPr>
        <w:ind w:left="792" w:hanging="432"/>
      </w:pPr>
      <w:rPr>
        <w:i w:val="false"/>
        <w:b w:val="false"/>
        <w:iCs/>
      </w:rPr>
    </w:lvl>
    <w:lvl w:ilvl="2">
      <w:start w:val="1"/>
      <w:numFmt w:val="decimal"/>
      <w:lvlText w:val="%1.%2.%3."/>
      <w:lvlJc w:val="left"/>
      <w:pPr>
        <w:ind w:left="1224" w:hanging="504"/>
      </w:pPr>
      <w:rPr>
        <w:i w:val="false"/>
        <w:b w:val="false"/>
        <w:iCs/>
        <w:rFonts w:cs="Arial"/>
        <w:color w:val="auto"/>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lvl w:ilvl="0">
      <w:start w:val="1"/>
      <w:numFmt w:val="decimal"/>
      <w:lvlText w:val="%1."/>
      <w:lvlJc w:val="left"/>
      <w:pPr>
        <w:ind w:left="360" w:hanging="360"/>
      </w:pPr>
      <w:rPr>
        <w:b/>
      </w:rPr>
    </w:lvl>
    <w:lvl w:ilvl="1">
      <w:start w:val="1"/>
      <w:numFmt w:val="decimal"/>
      <w:lvlText w:val="%1.%2."/>
      <w:lvlJc w:val="left"/>
      <w:pPr>
        <w:ind w:left="792" w:hanging="432"/>
      </w:pPr>
      <w:rPr>
        <w:i w:val="false"/>
        <w:b w:val="false"/>
        <w:iCs/>
      </w:rPr>
    </w:lvl>
    <w:lvl w:ilvl="2">
      <w:start w:val="1"/>
      <w:numFmt w:val="lowerLetter"/>
      <w:lvlText w:val="%3)"/>
      <w:lvlJc w:val="left"/>
      <w:pPr>
        <w:ind w:left="1224" w:hanging="504"/>
      </w:pPr>
      <w:rPr>
        <w:i w:val="false"/>
        <w:b w:val="false"/>
        <w:i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00"/>
  <w:defaultTabStop w:val="708"/>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DejaVu Sans"/>
        <w:szCs w:val="22"/>
        <w:lang w:val="pt-BR" w:eastAsia="en-US" w:bidi="ar-SA"/>
      </w:rPr>
    </w:rPrDefault>
    <w:pPrDefault>
      <w:pPr/>
    </w:pPrDefault>
  </w:docDefaults>
  <w:style w:type="paragraph" w:styleId="Normal">
    <w:name w:val="Normal"/>
    <w:qFormat/>
    <w:pPr>
      <w:widowControl/>
      <w:overflowPunct w:val="false"/>
      <w:bidi w:val="0"/>
      <w:spacing w:lineRule="auto" w:line="240" w:before="0" w:after="0"/>
      <w:jc w:val="left"/>
    </w:pPr>
    <w:rPr>
      <w:rFonts w:ascii="Arial" w:hAnsi="Arial" w:eastAsia="Times New Roman" w:cs="Tahoma"/>
      <w:color w:val="auto"/>
      <w:kern w:val="0"/>
      <w:sz w:val="20"/>
      <w:szCs w:val="24"/>
      <w:lang w:val="pt-BR" w:eastAsia="pt-BR" w:bidi="ar-SA"/>
    </w:rPr>
  </w:style>
  <w:style w:type="paragraph" w:styleId="Ttulo1">
    <w:name w:val="Heading 1"/>
    <w:basedOn w:val="Normal"/>
    <w:next w:val="Normal"/>
    <w:qFormat/>
    <w:pPr>
      <w:keepNext w:val="true"/>
      <w:keepLines/>
      <w:spacing w:before="240" w:after="0"/>
      <w:outlineLvl w:val="0"/>
    </w:pPr>
    <w:rPr>
      <w:rFonts w:ascii="Calibri Light" w:hAnsi="Calibri Light" w:eastAsia="Calibri" w:cs="DejaVu Sans"/>
      <w:color w:val="2F5496"/>
      <w:sz w:val="32"/>
      <w:szCs w:val="32"/>
    </w:rPr>
  </w:style>
  <w:style w:type="character" w:styleId="DefaultParagraphFont">
    <w:name w:val="Default Paragraph Font"/>
    <w:qFormat/>
    <w:rPr/>
  </w:style>
  <w:style w:type="character" w:styleId="CitaoChar">
    <w:name w:val="Citação Char"/>
    <w:basedOn w:val="DefaultParagraphFont"/>
    <w:qFormat/>
    <w:rPr>
      <w:rFonts w:ascii="Arial" w:hAnsi="Arial" w:eastAsia="Calibri" w:cs="Tahoma"/>
      <w:i/>
      <w:iCs/>
      <w:color w:val="000000"/>
      <w:sz w:val="20"/>
      <w:szCs w:val="24"/>
      <w:highlight w:val="yellow"/>
    </w:rPr>
  </w:style>
  <w:style w:type="character" w:styleId="Nivel01Char">
    <w:name w:val="Nivel 01 Char"/>
    <w:basedOn w:val="Ttulo1Char"/>
    <w:qFormat/>
    <w:rPr>
      <w:rFonts w:ascii="Arial" w:hAnsi="Arial" w:eastAsia="Calibri" w:cs="Times New Roman"/>
      <w:b/>
      <w:bCs/>
      <w:color w:val="000000"/>
      <w:sz w:val="20"/>
      <w:szCs w:val="20"/>
      <w:lang w:eastAsia="pt-BR"/>
    </w:rPr>
  </w:style>
  <w:style w:type="character" w:styleId="Ttulo1Char">
    <w:name w:val="Título 1 Char"/>
    <w:basedOn w:val="DefaultParagraphFont"/>
    <w:qFormat/>
    <w:rPr>
      <w:rFonts w:ascii="Calibri Light" w:hAnsi="Calibri Light" w:eastAsia="Calibri" w:cs="DejaVu Sans"/>
      <w:color w:val="2F5496"/>
      <w:sz w:val="32"/>
      <w:szCs w:val="32"/>
      <w:lang w:eastAsia="pt-BR"/>
    </w:rPr>
  </w:style>
  <w:style w:type="character" w:styleId="Citao2Char">
    <w:name w:val="citação 2 Char"/>
    <w:basedOn w:val="CitaoChar"/>
    <w:qFormat/>
    <w:rPr>
      <w:rFonts w:ascii="Arial" w:hAnsi="Arial" w:eastAsia="Calibri" w:cs="Tahoma"/>
      <w:i/>
      <w:iCs/>
      <w:color w:val="000000"/>
      <w:sz w:val="20"/>
      <w:szCs w:val="20"/>
      <w:highlight w:val="yellow"/>
    </w:rPr>
  </w:style>
  <w:style w:type="character" w:styleId="QuoteChar">
    <w:name w:val="Quote Char"/>
    <w:basedOn w:val="DefaultParagraphFont"/>
    <w:qFormat/>
    <w:rPr>
      <w:rFonts w:ascii="Ecofont_Spranq_eco_Sans" w:hAnsi="Ecofont_Spranq_eco_Sans" w:eastAsia="Calibri" w:cs="Tahoma"/>
      <w:i/>
      <w:iCs/>
      <w:color w:val="000000"/>
      <w:highlight w:val="yellow"/>
    </w:rPr>
  </w:style>
  <w:style w:type="character" w:styleId="Annotationreference">
    <w:name w:val="annotation reference"/>
    <w:basedOn w:val="DefaultParagraphFont"/>
    <w:qFormat/>
    <w:rPr>
      <w:sz w:val="16"/>
      <w:szCs w:val="16"/>
    </w:rPr>
  </w:style>
  <w:style w:type="character" w:styleId="TextodecomentrioChar">
    <w:name w:val="Texto de comentário Char"/>
    <w:basedOn w:val="DefaultParagraphFont"/>
    <w:qFormat/>
    <w:rPr>
      <w:rFonts w:ascii="Arial" w:hAnsi="Arial" w:eastAsia="Times New Roman" w:cs="Tahoma"/>
      <w:sz w:val="20"/>
      <w:szCs w:val="20"/>
      <w:lang w:eastAsia="pt-BR"/>
    </w:rPr>
  </w:style>
  <w:style w:type="character" w:styleId="AssuntodocomentrioChar">
    <w:name w:val="Assunto do comentário Char"/>
    <w:basedOn w:val="TextodecomentrioChar"/>
    <w:qFormat/>
    <w:rPr>
      <w:rFonts w:ascii="Arial" w:hAnsi="Arial" w:eastAsia="Times New Roman" w:cs="Tahoma"/>
      <w:b/>
      <w:bCs/>
      <w:sz w:val="20"/>
      <w:szCs w:val="20"/>
      <w:lang w:eastAsia="pt-BR"/>
    </w:rPr>
  </w:style>
  <w:style w:type="character" w:styleId="LinkdaInternet">
    <w:name w:val="Link da Internet"/>
    <w:rPr>
      <w:color w:val="000080"/>
      <w:u w:val="single"/>
    </w:rPr>
  </w:style>
  <w:style w:type="character" w:styleId="Nivel4Char">
    <w:name w:val="Nivel 4 Char"/>
    <w:basedOn w:val="DefaultParagraphFont"/>
    <w:qFormat/>
    <w:rPr>
      <w:rFonts w:ascii="Ecofont_Spranq_eco_Sans" w:hAnsi="Ecofont_Spranq_eco_Sans" w:eastAsia="Arial Unicode MS" w:cs="Arial"/>
      <w:sz w:val="20"/>
      <w:szCs w:val="20"/>
      <w:lang w:eastAsia="pt-BR"/>
    </w:rPr>
  </w:style>
  <w:style w:type="character" w:styleId="TextodebaloChar">
    <w:name w:val="Texto de balão Char"/>
    <w:basedOn w:val="DefaultParagraphFont"/>
    <w:qFormat/>
    <w:rPr>
      <w:rFonts w:ascii="Segoe UI" w:hAnsi="Segoe UI" w:eastAsia="Times New Roman" w:cs="Segoe UI"/>
      <w:sz w:val="18"/>
      <w:szCs w:val="18"/>
      <w:lang w:eastAsia="pt-BR"/>
    </w:rPr>
  </w:style>
  <w:style w:type="character" w:styleId="CabealhoChar">
    <w:name w:val="Cabeçalho Char"/>
    <w:basedOn w:val="DefaultParagraphFont"/>
    <w:qFormat/>
    <w:rPr>
      <w:rFonts w:ascii="Arial" w:hAnsi="Arial" w:eastAsia="Times New Roman" w:cs="Tahoma"/>
      <w:sz w:val="20"/>
      <w:szCs w:val="24"/>
      <w:lang w:eastAsia="pt-BR"/>
    </w:rPr>
  </w:style>
  <w:style w:type="character" w:styleId="RodapChar">
    <w:name w:val="Rodapé Char"/>
    <w:basedOn w:val="DefaultParagraphFont"/>
    <w:qFormat/>
    <w:rPr>
      <w:rFonts w:ascii="Arial" w:hAnsi="Arial" w:eastAsia="Times New Roman" w:cs="Tahoma"/>
      <w:sz w:val="20"/>
      <w:szCs w:val="24"/>
      <w:lang w:eastAsia="pt-BR"/>
    </w:rPr>
  </w:style>
  <w:style w:type="character" w:styleId="ListLabel1">
    <w:name w:val="ListLabel 1"/>
    <w:qFormat/>
    <w:rPr>
      <w:rFonts w:ascii="Arial" w:hAnsi="Arial"/>
      <w:b/>
    </w:rPr>
  </w:style>
  <w:style w:type="character" w:styleId="ListLabel2">
    <w:name w:val="ListLabel 2"/>
    <w:qFormat/>
    <w:rPr>
      <w:rFonts w:ascii="Arial" w:hAnsi="Arial"/>
      <w:b/>
      <w:i w:val="false"/>
      <w:iCs/>
    </w:rPr>
  </w:style>
  <w:style w:type="character" w:styleId="ListLabel3">
    <w:name w:val="ListLabel 3"/>
    <w:qFormat/>
    <w:rPr>
      <w:rFonts w:cs="Arial"/>
      <w:b/>
      <w:i w:val="false"/>
      <w:iCs/>
      <w:color w:val="auto"/>
    </w:rPr>
  </w:style>
  <w:style w:type="character" w:styleId="ListLabel4">
    <w:name w:val="ListLabel 4"/>
    <w:qFormat/>
    <w:rPr>
      <w:rFonts w:cs="Arial"/>
    </w:rPr>
  </w:style>
  <w:style w:type="character" w:styleId="ListLabel5">
    <w:name w:val="ListLabel 5"/>
    <w:qFormat/>
    <w:rPr>
      <w:color w:val="auto"/>
    </w:rPr>
  </w:style>
  <w:style w:type="character" w:styleId="ListLabel6">
    <w:name w:val="ListLabel 6"/>
    <w:qFormat/>
    <w:rPr>
      <w:color w:val="auto"/>
    </w:rPr>
  </w:style>
  <w:style w:type="character" w:styleId="ListLabel7">
    <w:name w:val="ListLabel 7"/>
    <w:qFormat/>
    <w:rPr>
      <w:color w:val="auto"/>
    </w:rPr>
  </w:style>
  <w:style w:type="character" w:styleId="ListLabel8">
    <w:name w:val="ListLabel 8"/>
    <w:qFormat/>
    <w:rPr>
      <w:color w:val="auto"/>
    </w:rPr>
  </w:style>
  <w:style w:type="character" w:styleId="ListLabel9">
    <w:name w:val="ListLabel 9"/>
    <w:qFormat/>
    <w:rPr>
      <w:color w:val="auto"/>
    </w:rPr>
  </w:style>
  <w:style w:type="character" w:styleId="ListLabel10">
    <w:name w:val="ListLabel 10"/>
    <w:qFormat/>
    <w:rPr>
      <w:color w:val="auto"/>
    </w:rPr>
  </w:style>
  <w:style w:type="character" w:styleId="ListLabel11">
    <w:name w:val="ListLabel 11"/>
    <w:qFormat/>
    <w:rPr>
      <w:color w:val="auto"/>
    </w:rPr>
  </w:style>
  <w:style w:type="character" w:styleId="ListLabel12">
    <w:name w:val="ListLabel 12"/>
    <w:qFormat/>
    <w:rPr>
      <w:color w:val="auto"/>
    </w:rPr>
  </w:style>
  <w:style w:type="character" w:styleId="ListLabel13">
    <w:name w:val="ListLabel 13"/>
    <w:qFormat/>
    <w:rPr>
      <w:color w:val="auto"/>
    </w:rPr>
  </w:style>
  <w:style w:type="character" w:styleId="ListLabel14">
    <w:name w:val="ListLabel 14"/>
    <w:qFormat/>
    <w:rPr>
      <w:b/>
    </w:rPr>
  </w:style>
  <w:style w:type="character" w:styleId="ListLabel15">
    <w:name w:val="ListLabel 15"/>
    <w:qFormat/>
    <w:rPr>
      <w:b w:val="false"/>
      <w:i w:val="false"/>
      <w:iCs/>
    </w:rPr>
  </w:style>
  <w:style w:type="character" w:styleId="ListLabel16">
    <w:name w:val="ListLabel 16"/>
    <w:qFormat/>
    <w:rPr>
      <w:rFonts w:cs="Arial"/>
      <w:b w:val="false"/>
      <w:i w:val="false"/>
      <w:iCs/>
      <w:color w:val="auto"/>
    </w:rPr>
  </w:style>
  <w:style w:type="character" w:styleId="ListLabel17">
    <w:name w:val="ListLabel 17"/>
    <w:qFormat/>
    <w:rPr>
      <w:i w:val="false"/>
      <w:color w:val="000000"/>
    </w:rPr>
  </w:style>
  <w:style w:type="character" w:styleId="ListLabel18">
    <w:name w:val="ListLabel 18"/>
    <w:qFormat/>
    <w:rPr>
      <w:i w:val="false"/>
      <w:color w:val="000000"/>
    </w:rPr>
  </w:style>
  <w:style w:type="character" w:styleId="ListLabel19">
    <w:name w:val="ListLabel 19"/>
    <w:qFormat/>
    <w:rPr>
      <w:i w:val="false"/>
      <w:color w:val="000000"/>
    </w:rPr>
  </w:style>
  <w:style w:type="character" w:styleId="ListLabel20">
    <w:name w:val="ListLabel 20"/>
    <w:qFormat/>
    <w:rPr>
      <w:i w:val="false"/>
      <w:color w:val="000000"/>
    </w:rPr>
  </w:style>
  <w:style w:type="character" w:styleId="ListLabel21">
    <w:name w:val="ListLabel 21"/>
    <w:qFormat/>
    <w:rPr>
      <w:i w:val="false"/>
      <w:color w:val="000000"/>
    </w:rPr>
  </w:style>
  <w:style w:type="character" w:styleId="ListLabel22">
    <w:name w:val="ListLabel 22"/>
    <w:qFormat/>
    <w:rPr>
      <w:i w:val="false"/>
      <w:color w:val="000000"/>
    </w:rPr>
  </w:style>
  <w:style w:type="character" w:styleId="ListLabel23">
    <w:name w:val="ListLabel 23"/>
    <w:qFormat/>
    <w:rPr>
      <w:i w:val="false"/>
      <w:color w:val="000000"/>
    </w:rPr>
  </w:style>
  <w:style w:type="character" w:styleId="ListLabel24">
    <w:name w:val="ListLabel 24"/>
    <w:qFormat/>
    <w:rPr>
      <w:i w:val="false"/>
      <w:color w:val="000000"/>
    </w:rPr>
  </w:style>
  <w:style w:type="character" w:styleId="ListLabel25">
    <w:name w:val="ListLabel 25"/>
    <w:qFormat/>
    <w:rPr>
      <w:i w:val="false"/>
      <w:color w:val="000000"/>
    </w:rPr>
  </w:style>
  <w:style w:type="character" w:styleId="ListLabel26">
    <w:name w:val="ListLabel 26"/>
    <w:qFormat/>
    <w:rPr>
      <w:b/>
    </w:rPr>
  </w:style>
  <w:style w:type="character" w:styleId="ListLabel27">
    <w:name w:val="ListLabel 27"/>
    <w:qFormat/>
    <w:rPr>
      <w:b w:val="false"/>
      <w:i w:val="false"/>
      <w:iCs/>
    </w:rPr>
  </w:style>
  <w:style w:type="character" w:styleId="ListLabel28">
    <w:name w:val="ListLabel 28"/>
    <w:qFormat/>
    <w:rPr>
      <w:rFonts w:cs="Arial"/>
      <w:b w:val="false"/>
      <w:i w:val="false"/>
      <w:iCs/>
      <w:color w:val="auto"/>
    </w:rPr>
  </w:style>
  <w:style w:type="character" w:styleId="ListLabel29">
    <w:name w:val="ListLabel 29"/>
    <w:qFormat/>
    <w:rPr>
      <w:b/>
    </w:rPr>
  </w:style>
  <w:style w:type="character" w:styleId="ListLabel30">
    <w:name w:val="ListLabel 30"/>
    <w:qFormat/>
    <w:rPr>
      <w:b w:val="false"/>
      <w:i w:val="false"/>
      <w:iCs/>
    </w:rPr>
  </w:style>
  <w:style w:type="character" w:styleId="ListLabel31">
    <w:name w:val="ListLabel 31"/>
    <w:qFormat/>
    <w:rPr>
      <w:rFonts w:cs="Arial"/>
      <w:b w:val="false"/>
      <w:i w:val="false"/>
      <w:iCs/>
      <w:color w:val="auto"/>
    </w:rPr>
  </w:style>
  <w:style w:type="character" w:styleId="ListLabel32">
    <w:name w:val="ListLabel 32"/>
    <w:qFormat/>
    <w:rPr>
      <w:b/>
    </w:rPr>
  </w:style>
  <w:style w:type="character" w:styleId="ListLabel33">
    <w:name w:val="ListLabel 33"/>
    <w:qFormat/>
    <w:rPr>
      <w:b w:val="false"/>
      <w:i w:val="false"/>
      <w:iCs/>
    </w:rPr>
  </w:style>
  <w:style w:type="character" w:styleId="ListLabel34">
    <w:name w:val="ListLabel 34"/>
    <w:qFormat/>
    <w:rPr>
      <w:rFonts w:cs="Arial"/>
      <w:b w:val="false"/>
      <w:i w:val="false"/>
      <w:iCs/>
      <w:color w:val="auto"/>
    </w:rPr>
  </w:style>
  <w:style w:type="character" w:styleId="ListLabel35">
    <w:name w:val="ListLabel 35"/>
    <w:qFormat/>
    <w:rPr>
      <w:b/>
    </w:rPr>
  </w:style>
  <w:style w:type="character" w:styleId="ListLabel36">
    <w:name w:val="ListLabel 36"/>
    <w:qFormat/>
    <w:rPr>
      <w:b w:val="false"/>
      <w:i w:val="false"/>
      <w:iCs/>
    </w:rPr>
  </w:style>
  <w:style w:type="character" w:styleId="ListLabel37">
    <w:name w:val="ListLabel 37"/>
    <w:qFormat/>
    <w:rPr>
      <w:rFonts w:cs="Arial"/>
      <w:b w:val="false"/>
      <w:i w:val="false"/>
      <w:iCs/>
      <w:color w:val="auto"/>
    </w:rPr>
  </w:style>
  <w:style w:type="character" w:styleId="ListLabel38">
    <w:name w:val="ListLabel 38"/>
    <w:qFormat/>
    <w:rPr>
      <w:b/>
    </w:rPr>
  </w:style>
  <w:style w:type="character" w:styleId="ListLabel39">
    <w:name w:val="ListLabel 39"/>
    <w:qFormat/>
    <w:rPr>
      <w:b w:val="false"/>
      <w:i w:val="false"/>
      <w:iCs/>
    </w:rPr>
  </w:style>
  <w:style w:type="character" w:styleId="ListLabel40">
    <w:name w:val="ListLabel 40"/>
    <w:qFormat/>
    <w:rPr>
      <w:rFonts w:cs="Arial"/>
      <w:b w:val="false"/>
      <w:i w:val="false"/>
      <w:iCs/>
      <w:color w:val="auto"/>
    </w:rPr>
  </w:style>
  <w:style w:type="character" w:styleId="ListLabel41">
    <w:name w:val="ListLabel 41"/>
    <w:qFormat/>
    <w:rPr>
      <w:b/>
      <w:i w:val="false"/>
      <w:strike w:val="false"/>
      <w:dstrike w:val="false"/>
    </w:rPr>
  </w:style>
  <w:style w:type="character" w:styleId="ListLabel42">
    <w:name w:val="ListLabel 42"/>
    <w:qFormat/>
    <w:rPr>
      <w:b w:val="false"/>
      <w:strike w:val="false"/>
      <w:dstrike w:val="false"/>
    </w:rPr>
  </w:style>
  <w:style w:type="character" w:styleId="ListLabel43">
    <w:name w:val="ListLabel 43"/>
    <w:qFormat/>
    <w:rPr>
      <w:i w:val="false"/>
      <w:strike w:val="false"/>
      <w:dstrike w:val="false"/>
    </w:rPr>
  </w:style>
  <w:style w:type="character" w:styleId="ListLabel44">
    <w:name w:val="ListLabel 44"/>
    <w:qFormat/>
    <w:rPr>
      <w:b w:val="false"/>
    </w:rPr>
  </w:style>
  <w:style w:type="character" w:styleId="ListLabel45">
    <w:name w:val="ListLabel 45"/>
    <w:qFormat/>
    <w:rPr>
      <w:b w:val="false"/>
    </w:rPr>
  </w:style>
  <w:style w:type="character" w:styleId="ListLabel46">
    <w:name w:val="ListLabel 46"/>
    <w:qFormat/>
    <w:rPr>
      <w:b w:val="false"/>
    </w:rPr>
  </w:style>
  <w:style w:type="character" w:styleId="ListLabel47">
    <w:name w:val="ListLabel 47"/>
    <w:qFormat/>
    <w:rPr>
      <w:b w:val="false"/>
    </w:rPr>
  </w:style>
  <w:style w:type="character" w:styleId="ListLabel48">
    <w:name w:val="ListLabel 48"/>
    <w:qFormat/>
    <w:rPr>
      <w:b/>
    </w:rPr>
  </w:style>
  <w:style w:type="character" w:styleId="ListLabel49">
    <w:name w:val="ListLabel 49"/>
    <w:qFormat/>
    <w:rPr>
      <w:b w:val="false"/>
    </w:rPr>
  </w:style>
  <w:style w:type="character" w:styleId="ListLabel50">
    <w:name w:val="ListLabel 50"/>
    <w:qFormat/>
    <w:rPr>
      <w:b/>
    </w:rPr>
  </w:style>
  <w:style w:type="character" w:styleId="ListLabel51">
    <w:name w:val="ListLabel 51"/>
    <w:qFormat/>
    <w:rPr>
      <w:b w:val="false"/>
      <w:i w:val="false"/>
      <w:iCs/>
    </w:rPr>
  </w:style>
  <w:style w:type="character" w:styleId="ListLabel52">
    <w:name w:val="ListLabel 52"/>
    <w:qFormat/>
    <w:rPr>
      <w:rFonts w:cs="Arial"/>
      <w:b w:val="false"/>
      <w:i w:val="false"/>
      <w:iCs/>
      <w:color w:val="auto"/>
    </w:rPr>
  </w:style>
  <w:style w:type="character" w:styleId="ListLabel53">
    <w:name w:val="ListLabel 53"/>
    <w:qFormat/>
    <w:rPr>
      <w:rFonts w:cs="Courier New"/>
    </w:rPr>
  </w:style>
  <w:style w:type="character" w:styleId="ListLabel54">
    <w:name w:val="ListLabel 54"/>
    <w:qFormat/>
    <w:rPr>
      <w:rFonts w:cs="Courier New"/>
    </w:rPr>
  </w:style>
  <w:style w:type="character" w:styleId="ListLabel55">
    <w:name w:val="ListLabel 55"/>
    <w:qFormat/>
    <w:rPr>
      <w:rFonts w:cs="Courier New"/>
    </w:rPr>
  </w:style>
  <w:style w:type="character" w:styleId="ListLabel56">
    <w:name w:val="ListLabel 56"/>
    <w:qFormat/>
    <w:rPr>
      <w:b/>
    </w:rPr>
  </w:style>
  <w:style w:type="character" w:styleId="ListLabel57">
    <w:name w:val="ListLabel 57"/>
    <w:qFormat/>
    <w:rPr>
      <w:b w:val="false"/>
      <w:i w:val="false"/>
      <w:iCs/>
    </w:rPr>
  </w:style>
  <w:style w:type="character" w:styleId="ListLabel58">
    <w:name w:val="ListLabel 58"/>
    <w:qFormat/>
    <w:rPr>
      <w:rFonts w:cs="Arial"/>
      <w:b w:val="false"/>
      <w:i w:val="false"/>
      <w:iCs/>
      <w:color w:val="auto"/>
    </w:rPr>
  </w:style>
  <w:style w:type="character" w:styleId="ListLabel59">
    <w:name w:val="ListLabel 59"/>
    <w:qFormat/>
    <w:rPr>
      <w:rFonts w:eastAsia="Calibri" w:cs="Arial"/>
      <w:b/>
    </w:rPr>
  </w:style>
  <w:style w:type="character" w:styleId="ListLabel60">
    <w:name w:val="ListLabel 60"/>
    <w:qFormat/>
    <w:rPr>
      <w:b w:val="false"/>
      <w:i w:val="false"/>
      <w:iCs/>
    </w:rPr>
  </w:style>
  <w:style w:type="character" w:styleId="ListLabel61">
    <w:name w:val="ListLabel 61"/>
    <w:qFormat/>
    <w:rPr>
      <w:b w:val="false"/>
      <w:i w:val="false"/>
      <w:iCs/>
      <w:color w:val="auto"/>
    </w:rPr>
  </w:style>
  <w:style w:type="character" w:styleId="ListLabel62">
    <w:name w:val="ListLabel 62"/>
    <w:qFormat/>
    <w:rPr>
      <w:b/>
    </w:rPr>
  </w:style>
  <w:style w:type="character" w:styleId="ListLabel63">
    <w:name w:val="ListLabel 63"/>
    <w:qFormat/>
    <w:rPr>
      <w:b w:val="false"/>
      <w:i w:val="false"/>
      <w:iCs/>
    </w:rPr>
  </w:style>
  <w:style w:type="character" w:styleId="ListLabel64">
    <w:name w:val="ListLabel 64"/>
    <w:qFormat/>
    <w:rPr>
      <w:rFonts w:cs="Arial"/>
      <w:b w:val="false"/>
      <w:i w:val="false"/>
      <w:iCs/>
      <w:color w:val="auto"/>
    </w:rPr>
  </w:style>
  <w:style w:type="character" w:styleId="ListLabel65">
    <w:name w:val="ListLabel 65"/>
    <w:qFormat/>
    <w:rPr>
      <w:b/>
    </w:rPr>
  </w:style>
  <w:style w:type="character" w:styleId="ListLabel66">
    <w:name w:val="ListLabel 66"/>
    <w:qFormat/>
    <w:rPr>
      <w:b w:val="false"/>
      <w:i w:val="false"/>
      <w:iCs/>
    </w:rPr>
  </w:style>
  <w:style w:type="character" w:styleId="ListLabel67">
    <w:name w:val="ListLabel 67"/>
    <w:qFormat/>
    <w:rPr>
      <w:rFonts w:cs="Arial"/>
      <w:b w:val="false"/>
      <w:i w:val="false"/>
      <w:iCs/>
      <w:color w:val="auto"/>
    </w:rPr>
  </w:style>
  <w:style w:type="character" w:styleId="ListLabel68">
    <w:name w:val="ListLabel 68"/>
    <w:qFormat/>
    <w:rPr>
      <w:b/>
    </w:rPr>
  </w:style>
  <w:style w:type="character" w:styleId="ListLabel69">
    <w:name w:val="ListLabel 69"/>
    <w:qFormat/>
    <w:rPr>
      <w:b w:val="false"/>
      <w:i w:val="false"/>
      <w:iCs/>
    </w:rPr>
  </w:style>
  <w:style w:type="character" w:styleId="ListLabel70">
    <w:name w:val="ListLabel 70"/>
    <w:qFormat/>
    <w:rPr>
      <w:b w:val="false"/>
      <w:i w:val="false"/>
      <w:iCs/>
      <w:color w:val="auto"/>
    </w:rPr>
  </w:style>
  <w:style w:type="character" w:styleId="ListLabel71">
    <w:name w:val="ListLabel 71"/>
    <w:qFormat/>
    <w:rPr>
      <w:rFonts w:eastAsia="Calibri" w:cs="Arial"/>
      <w:szCs w:val="20"/>
    </w:rPr>
  </w:style>
  <w:style w:type="character" w:styleId="ListLabel72">
    <w:name w:val="ListLabel 72"/>
    <w:qFormat/>
    <w:rPr>
      <w:rFonts w:eastAsia="Calibri" w:cs="Arial"/>
      <w:lang w:eastAsia="ar-SA"/>
    </w:rPr>
  </w:style>
  <w:style w:type="character" w:styleId="ListLabel73">
    <w:name w:val="ListLabel 73"/>
    <w:qFormat/>
    <w:rPr>
      <w:color w:val="000000"/>
    </w:rPr>
  </w:style>
  <w:style w:type="character" w:styleId="ListLabel74">
    <w:name w:val="ListLabel 74"/>
    <w:qFormat/>
    <w:rPr>
      <w:rFonts w:ascii="Arial" w:hAnsi="Arial"/>
      <w:b/>
    </w:rPr>
  </w:style>
  <w:style w:type="character" w:styleId="ListLabel75">
    <w:name w:val="ListLabel 75"/>
    <w:qFormat/>
    <w:rPr>
      <w:rFonts w:ascii="Arial" w:hAnsi="Arial"/>
      <w:b/>
      <w:i w:val="false"/>
      <w:iCs/>
    </w:rPr>
  </w:style>
  <w:style w:type="character" w:styleId="ListLabel76">
    <w:name w:val="ListLabel 76"/>
    <w:qFormat/>
    <w:rPr>
      <w:rFonts w:cs="Arial"/>
      <w:b/>
      <w:i w:val="false"/>
      <w:iCs/>
      <w:color w:val="auto"/>
    </w:rPr>
  </w:style>
  <w:style w:type="character" w:styleId="ListLabel77">
    <w:name w:val="ListLabel 77"/>
    <w:qFormat/>
    <w:rPr>
      <w:b/>
    </w:rPr>
  </w:style>
  <w:style w:type="character" w:styleId="ListLabel78">
    <w:name w:val="ListLabel 78"/>
    <w:qFormat/>
    <w:rPr>
      <w:b w:val="false"/>
    </w:rPr>
  </w:style>
  <w:style w:type="character" w:styleId="ListLabel79">
    <w:name w:val="ListLabel 79"/>
    <w:qFormat/>
    <w:rPr>
      <w:b/>
    </w:rPr>
  </w:style>
  <w:style w:type="character" w:styleId="ListLabel80">
    <w:name w:val="ListLabel 80"/>
    <w:qFormat/>
    <w:rPr>
      <w:b w:val="false"/>
      <w:i w:val="false"/>
      <w:iCs/>
    </w:rPr>
  </w:style>
  <w:style w:type="character" w:styleId="ListLabel81">
    <w:name w:val="ListLabel 81"/>
    <w:qFormat/>
    <w:rPr>
      <w:rFonts w:cs="Arial"/>
      <w:b w:val="false"/>
      <w:i w:val="false"/>
      <w:iCs/>
      <w:color w:val="auto"/>
    </w:rPr>
  </w:style>
  <w:style w:type="character" w:styleId="ListLabel82">
    <w:name w:val="ListLabel 82"/>
    <w:qFormat/>
    <w:rPr>
      <w:b/>
    </w:rPr>
  </w:style>
  <w:style w:type="character" w:styleId="ListLabel83">
    <w:name w:val="ListLabel 83"/>
    <w:qFormat/>
    <w:rPr>
      <w:b w:val="false"/>
      <w:i w:val="false"/>
      <w:iCs/>
    </w:rPr>
  </w:style>
  <w:style w:type="character" w:styleId="ListLabel84">
    <w:name w:val="ListLabel 84"/>
    <w:qFormat/>
    <w:rPr>
      <w:b w:val="false"/>
      <w:i w:val="false"/>
      <w:iCs/>
      <w:color w:val="auto"/>
    </w:rPr>
  </w:style>
  <w:style w:type="character" w:styleId="ListLabel85">
    <w:name w:val="ListLabel 85"/>
    <w:qFormat/>
    <w:rPr>
      <w:rFonts w:eastAsia="Calibri" w:cs="Arial"/>
      <w:szCs w:val="20"/>
    </w:rPr>
  </w:style>
  <w:style w:type="character" w:styleId="ListLabel86">
    <w:name w:val="ListLabel 86"/>
    <w:qFormat/>
    <w:rPr>
      <w:rFonts w:eastAsia="Calibri" w:cs="Arial"/>
      <w:lang w:eastAsia="ar-SA"/>
    </w:rPr>
  </w:style>
  <w:style w:type="character" w:styleId="ListLabel87">
    <w:name w:val="ListLabel 87"/>
    <w:qFormat/>
    <w:rPr>
      <w:color w:val="000000"/>
    </w:rPr>
  </w:style>
  <w:style w:type="character" w:styleId="Smbolosdenumerao">
    <w:name w:val="Símbolos de numeração"/>
    <w:qFormat/>
    <w:rPr/>
  </w:style>
  <w:style w:type="character" w:styleId="ListLabel88">
    <w:name w:val="ListLabel 88"/>
    <w:qFormat/>
    <w:rPr>
      <w:b/>
    </w:rPr>
  </w:style>
  <w:style w:type="character" w:styleId="ListLabel89">
    <w:name w:val="ListLabel 89"/>
    <w:qFormat/>
    <w:rPr>
      <w:b w:val="false"/>
    </w:rPr>
  </w:style>
  <w:style w:type="character" w:styleId="ListLabel90">
    <w:name w:val="ListLabel 90"/>
    <w:qFormat/>
    <w:rPr>
      <w:b/>
    </w:rPr>
  </w:style>
  <w:style w:type="character" w:styleId="ListLabel91">
    <w:name w:val="ListLabel 91"/>
    <w:qFormat/>
    <w:rPr>
      <w:b w:val="false"/>
      <w:i w:val="false"/>
      <w:iCs/>
    </w:rPr>
  </w:style>
  <w:style w:type="character" w:styleId="ListLabel92">
    <w:name w:val="ListLabel 92"/>
    <w:qFormat/>
    <w:rPr>
      <w:rFonts w:cs="Arial"/>
      <w:b w:val="false"/>
      <w:i w:val="false"/>
      <w:iCs/>
      <w:color w:val="auto"/>
    </w:rPr>
  </w:style>
  <w:style w:type="character" w:styleId="ListLabel93">
    <w:name w:val="ListLabel 93"/>
    <w:qFormat/>
    <w:rPr>
      <w:b/>
    </w:rPr>
  </w:style>
  <w:style w:type="character" w:styleId="ListLabel94">
    <w:name w:val="ListLabel 94"/>
    <w:qFormat/>
    <w:rPr>
      <w:b w:val="false"/>
      <w:i w:val="false"/>
      <w:iCs/>
    </w:rPr>
  </w:style>
  <w:style w:type="character" w:styleId="ListLabel95">
    <w:name w:val="ListLabel 95"/>
    <w:qFormat/>
    <w:rPr>
      <w:b w:val="false"/>
      <w:i w:val="false"/>
      <w:iCs/>
      <w:color w:val="auto"/>
    </w:rPr>
  </w:style>
  <w:style w:type="character" w:styleId="ListLabel96">
    <w:name w:val="ListLabel 96"/>
    <w:qFormat/>
    <w:rPr>
      <w:rFonts w:eastAsia="Calibri" w:cs="Arial"/>
      <w:szCs w:val="20"/>
    </w:rPr>
  </w:style>
  <w:style w:type="character" w:styleId="ListLabel97">
    <w:name w:val="ListLabel 97"/>
    <w:qFormat/>
    <w:rPr>
      <w:rFonts w:eastAsia="Calibri" w:cs="Arial"/>
      <w:lang w:eastAsia="ar-SA"/>
    </w:rPr>
  </w:style>
  <w:style w:type="character" w:styleId="ListLabel98">
    <w:name w:val="ListLabel 98"/>
    <w:qFormat/>
    <w:rPr>
      <w:color w:val="000000"/>
    </w:rPr>
  </w:style>
  <w:style w:type="character" w:styleId="ListLabel99">
    <w:name w:val="ListLabel 99"/>
    <w:qFormat/>
    <w:rPr>
      <w:b/>
    </w:rPr>
  </w:style>
  <w:style w:type="character" w:styleId="ListLabel100">
    <w:name w:val="ListLabel 100"/>
    <w:qFormat/>
    <w:rPr>
      <w:b w:val="false"/>
    </w:rPr>
  </w:style>
  <w:style w:type="character" w:styleId="ListLabel101">
    <w:name w:val="ListLabel 101"/>
    <w:qFormat/>
    <w:rPr>
      <w:b/>
    </w:rPr>
  </w:style>
  <w:style w:type="character" w:styleId="ListLabel102">
    <w:name w:val="ListLabel 102"/>
    <w:qFormat/>
    <w:rPr>
      <w:b w:val="false"/>
      <w:i w:val="false"/>
      <w:iCs/>
    </w:rPr>
  </w:style>
  <w:style w:type="character" w:styleId="ListLabel103">
    <w:name w:val="ListLabel 103"/>
    <w:qFormat/>
    <w:rPr>
      <w:rFonts w:cs="Arial"/>
      <w:b w:val="false"/>
      <w:i w:val="false"/>
      <w:iCs/>
      <w:color w:val="auto"/>
    </w:rPr>
  </w:style>
  <w:style w:type="character" w:styleId="ListLabel104">
    <w:name w:val="ListLabel 104"/>
    <w:qFormat/>
    <w:rPr>
      <w:b/>
    </w:rPr>
  </w:style>
  <w:style w:type="character" w:styleId="ListLabel105">
    <w:name w:val="ListLabel 105"/>
    <w:qFormat/>
    <w:rPr>
      <w:b w:val="false"/>
      <w:i w:val="false"/>
      <w:iCs/>
    </w:rPr>
  </w:style>
  <w:style w:type="character" w:styleId="ListLabel106">
    <w:name w:val="ListLabel 106"/>
    <w:qFormat/>
    <w:rPr>
      <w:b w:val="false"/>
      <w:i w:val="false"/>
      <w:iCs/>
      <w:color w:val="auto"/>
    </w:rPr>
  </w:style>
  <w:style w:type="character" w:styleId="ListLabel107">
    <w:name w:val="ListLabel 107"/>
    <w:qFormat/>
    <w:rPr>
      <w:rFonts w:eastAsia="Calibri" w:cs="Arial"/>
      <w:szCs w:val="20"/>
    </w:rPr>
  </w:style>
  <w:style w:type="character" w:styleId="ListLabel108">
    <w:name w:val="ListLabel 108"/>
    <w:qFormat/>
    <w:rPr>
      <w:rFonts w:eastAsia="Calibri" w:cs="Arial"/>
      <w:lang w:eastAsia="ar-SA"/>
    </w:rPr>
  </w:style>
  <w:style w:type="character" w:styleId="ListLabel109">
    <w:name w:val="ListLabel 109"/>
    <w:qFormat/>
    <w:rPr>
      <w:color w:val="000000"/>
    </w:rPr>
  </w:style>
  <w:style w:type="character" w:styleId="ListLabel110">
    <w:name w:val="ListLabel 110"/>
    <w:qFormat/>
    <w:rPr>
      <w:b/>
    </w:rPr>
  </w:style>
  <w:style w:type="character" w:styleId="ListLabel111">
    <w:name w:val="ListLabel 111"/>
    <w:qFormat/>
    <w:rPr>
      <w:b w:val="false"/>
    </w:rPr>
  </w:style>
  <w:style w:type="character" w:styleId="ListLabel112">
    <w:name w:val="ListLabel 112"/>
    <w:qFormat/>
    <w:rPr>
      <w:b/>
    </w:rPr>
  </w:style>
  <w:style w:type="character" w:styleId="ListLabel113">
    <w:name w:val="ListLabel 113"/>
    <w:qFormat/>
    <w:rPr>
      <w:b w:val="false"/>
      <w:i w:val="false"/>
      <w:iCs/>
    </w:rPr>
  </w:style>
  <w:style w:type="character" w:styleId="ListLabel114">
    <w:name w:val="ListLabel 114"/>
    <w:qFormat/>
    <w:rPr>
      <w:rFonts w:cs="Arial"/>
      <w:b w:val="false"/>
      <w:i w:val="false"/>
      <w:iCs/>
      <w:color w:val="auto"/>
    </w:rPr>
  </w:style>
  <w:style w:type="character" w:styleId="ListLabel115">
    <w:name w:val="ListLabel 115"/>
    <w:qFormat/>
    <w:rPr>
      <w:b/>
    </w:rPr>
  </w:style>
  <w:style w:type="character" w:styleId="ListLabel116">
    <w:name w:val="ListLabel 116"/>
    <w:qFormat/>
    <w:rPr>
      <w:b w:val="false"/>
      <w:i w:val="false"/>
      <w:iCs/>
    </w:rPr>
  </w:style>
  <w:style w:type="character" w:styleId="ListLabel117">
    <w:name w:val="ListLabel 117"/>
    <w:qFormat/>
    <w:rPr>
      <w:b w:val="false"/>
      <w:i w:val="false"/>
      <w:iCs/>
      <w:color w:val="auto"/>
    </w:rPr>
  </w:style>
  <w:style w:type="character" w:styleId="ListLabel118">
    <w:name w:val="ListLabel 118"/>
    <w:qFormat/>
    <w:rPr>
      <w:rFonts w:eastAsia="Calibri" w:cs="Arial"/>
      <w:szCs w:val="20"/>
    </w:rPr>
  </w:style>
  <w:style w:type="character" w:styleId="ListLabel119">
    <w:name w:val="ListLabel 119"/>
    <w:qFormat/>
    <w:rPr>
      <w:rFonts w:eastAsia="Calibri" w:cs="Arial"/>
      <w:lang w:eastAsia="ar-SA"/>
    </w:rPr>
  </w:style>
  <w:style w:type="character" w:styleId="ListLabel120">
    <w:name w:val="ListLabel 120"/>
    <w:qFormat/>
    <w:rPr>
      <w:color w:val="000000"/>
    </w:rPr>
  </w:style>
  <w:style w:type="character" w:styleId="Textooriginal">
    <w:name w:val="Texto original"/>
    <w:qFormat/>
    <w:rPr>
      <w:rFonts w:ascii="Liberation Mono" w:hAnsi="Liberation Mono" w:eastAsia="Liberation Mono" w:cs="Liberation Mono"/>
    </w:rPr>
  </w:style>
  <w:style w:type="character" w:styleId="ListLabel121">
    <w:name w:val="ListLabel 121"/>
    <w:qFormat/>
    <w:rPr>
      <w:b/>
    </w:rPr>
  </w:style>
  <w:style w:type="character" w:styleId="ListLabel122">
    <w:name w:val="ListLabel 122"/>
    <w:qFormat/>
    <w:rPr>
      <w:b w:val="false"/>
    </w:rPr>
  </w:style>
  <w:style w:type="character" w:styleId="ListLabel123">
    <w:name w:val="ListLabel 123"/>
    <w:qFormat/>
    <w:rPr>
      <w:b/>
    </w:rPr>
  </w:style>
  <w:style w:type="character" w:styleId="ListLabel124">
    <w:name w:val="ListLabel 124"/>
    <w:qFormat/>
    <w:rPr>
      <w:b w:val="false"/>
      <w:i w:val="false"/>
      <w:iCs/>
    </w:rPr>
  </w:style>
  <w:style w:type="character" w:styleId="ListLabel125">
    <w:name w:val="ListLabel 125"/>
    <w:qFormat/>
    <w:rPr>
      <w:rFonts w:cs="Arial"/>
      <w:b w:val="false"/>
      <w:i w:val="false"/>
      <w:iCs/>
      <w:color w:val="auto"/>
    </w:rPr>
  </w:style>
  <w:style w:type="character" w:styleId="ListLabel126">
    <w:name w:val="ListLabel 126"/>
    <w:qFormat/>
    <w:rPr>
      <w:b/>
    </w:rPr>
  </w:style>
  <w:style w:type="character" w:styleId="ListLabel127">
    <w:name w:val="ListLabel 127"/>
    <w:qFormat/>
    <w:rPr>
      <w:b w:val="false"/>
      <w:i w:val="false"/>
      <w:iCs/>
    </w:rPr>
  </w:style>
  <w:style w:type="character" w:styleId="ListLabel128">
    <w:name w:val="ListLabel 128"/>
    <w:qFormat/>
    <w:rPr>
      <w:b w:val="false"/>
      <w:i w:val="false"/>
      <w:iCs/>
      <w:color w:val="auto"/>
    </w:rPr>
  </w:style>
  <w:style w:type="character" w:styleId="ListLabel129">
    <w:name w:val="ListLabel 129"/>
    <w:qFormat/>
    <w:rPr>
      <w:rFonts w:eastAsia="Calibri" w:cs="Arial"/>
      <w:szCs w:val="20"/>
    </w:rPr>
  </w:style>
  <w:style w:type="character" w:styleId="ListLabel130">
    <w:name w:val="ListLabel 130"/>
    <w:qFormat/>
    <w:rPr>
      <w:rFonts w:eastAsia="Calibri" w:cs="Arial"/>
      <w:lang w:eastAsia="ar-SA"/>
    </w:rPr>
  </w:style>
  <w:style w:type="character" w:styleId="ListLabel131">
    <w:name w:val="ListLabel 131"/>
    <w:qFormat/>
    <w:rPr>
      <w:color w:val="000000"/>
    </w:rPr>
  </w:style>
  <w:style w:type="character" w:styleId="ListLabel132">
    <w:name w:val="ListLabel 132"/>
    <w:qFormat/>
    <w:rPr>
      <w:b/>
    </w:rPr>
  </w:style>
  <w:style w:type="character" w:styleId="ListLabel133">
    <w:name w:val="ListLabel 133"/>
    <w:qFormat/>
    <w:rPr>
      <w:b w:val="false"/>
    </w:rPr>
  </w:style>
  <w:style w:type="character" w:styleId="ListLabel134">
    <w:name w:val="ListLabel 134"/>
    <w:qFormat/>
    <w:rPr>
      <w:b/>
    </w:rPr>
  </w:style>
  <w:style w:type="character" w:styleId="ListLabel135">
    <w:name w:val="ListLabel 135"/>
    <w:qFormat/>
    <w:rPr>
      <w:b w:val="false"/>
      <w:i w:val="false"/>
      <w:iCs/>
    </w:rPr>
  </w:style>
  <w:style w:type="character" w:styleId="ListLabel136">
    <w:name w:val="ListLabel 136"/>
    <w:qFormat/>
    <w:rPr>
      <w:rFonts w:cs="Arial"/>
      <w:b w:val="false"/>
      <w:i w:val="false"/>
      <w:iCs/>
      <w:color w:val="auto"/>
    </w:rPr>
  </w:style>
  <w:style w:type="character" w:styleId="ListLabel137">
    <w:name w:val="ListLabel 137"/>
    <w:qFormat/>
    <w:rPr>
      <w:b/>
    </w:rPr>
  </w:style>
  <w:style w:type="character" w:styleId="ListLabel138">
    <w:name w:val="ListLabel 138"/>
    <w:qFormat/>
    <w:rPr>
      <w:b w:val="false"/>
      <w:i w:val="false"/>
      <w:iCs/>
    </w:rPr>
  </w:style>
  <w:style w:type="character" w:styleId="ListLabel139">
    <w:name w:val="ListLabel 139"/>
    <w:qFormat/>
    <w:rPr>
      <w:b w:val="false"/>
      <w:i w:val="false"/>
      <w:iCs/>
      <w:color w:val="auto"/>
    </w:rPr>
  </w:style>
  <w:style w:type="character" w:styleId="ListLabel140">
    <w:name w:val="ListLabel 140"/>
    <w:qFormat/>
    <w:rPr>
      <w:rFonts w:eastAsia="Calibri" w:cs="Arial"/>
      <w:szCs w:val="20"/>
    </w:rPr>
  </w:style>
  <w:style w:type="character" w:styleId="ListLabel141">
    <w:name w:val="ListLabel 141"/>
    <w:qFormat/>
    <w:rPr>
      <w:rFonts w:eastAsia="Calibri" w:cs="Arial"/>
      <w:lang w:eastAsia="ar-SA"/>
    </w:rPr>
  </w:style>
  <w:style w:type="character" w:styleId="ListLabel142">
    <w:name w:val="ListLabel 142"/>
    <w:qFormat/>
    <w:rPr>
      <w:color w:val="000000"/>
    </w:rPr>
  </w:style>
  <w:style w:type="character" w:styleId="ListLabel143">
    <w:name w:val="ListLabel 143"/>
    <w:qFormat/>
    <w:rPr>
      <w:b/>
    </w:rPr>
  </w:style>
  <w:style w:type="character" w:styleId="ListLabel144">
    <w:name w:val="ListLabel 144"/>
    <w:qFormat/>
    <w:rPr>
      <w:b w:val="false"/>
    </w:rPr>
  </w:style>
  <w:style w:type="character" w:styleId="ListLabel145">
    <w:name w:val="ListLabel 145"/>
    <w:qFormat/>
    <w:rPr>
      <w:b/>
    </w:rPr>
  </w:style>
  <w:style w:type="character" w:styleId="ListLabel146">
    <w:name w:val="ListLabel 146"/>
    <w:qFormat/>
    <w:rPr>
      <w:b w:val="false"/>
      <w:i w:val="false"/>
      <w:iCs/>
    </w:rPr>
  </w:style>
  <w:style w:type="character" w:styleId="ListLabel147">
    <w:name w:val="ListLabel 147"/>
    <w:qFormat/>
    <w:rPr>
      <w:rFonts w:cs="Arial"/>
      <w:b w:val="false"/>
      <w:i w:val="false"/>
      <w:iCs/>
      <w:color w:val="auto"/>
    </w:rPr>
  </w:style>
  <w:style w:type="character" w:styleId="ListLabel148">
    <w:name w:val="ListLabel 148"/>
    <w:qFormat/>
    <w:rPr>
      <w:b/>
    </w:rPr>
  </w:style>
  <w:style w:type="character" w:styleId="ListLabel149">
    <w:name w:val="ListLabel 149"/>
    <w:qFormat/>
    <w:rPr>
      <w:b w:val="false"/>
      <w:i w:val="false"/>
      <w:iCs/>
    </w:rPr>
  </w:style>
  <w:style w:type="character" w:styleId="ListLabel150">
    <w:name w:val="ListLabel 150"/>
    <w:qFormat/>
    <w:rPr>
      <w:b w:val="false"/>
      <w:i w:val="false"/>
      <w:iCs/>
      <w:color w:val="auto"/>
    </w:rPr>
  </w:style>
  <w:style w:type="character" w:styleId="ListLabel151">
    <w:name w:val="ListLabel 151"/>
    <w:qFormat/>
    <w:rPr>
      <w:rFonts w:eastAsia="Calibri" w:cs="Arial"/>
      <w:szCs w:val="20"/>
    </w:rPr>
  </w:style>
  <w:style w:type="character" w:styleId="ListLabel152">
    <w:name w:val="ListLabel 152"/>
    <w:qFormat/>
    <w:rPr>
      <w:rFonts w:eastAsia="Calibri" w:cs="Arial"/>
      <w:lang w:eastAsia="ar-SA"/>
    </w:rPr>
  </w:style>
  <w:style w:type="character" w:styleId="ListLabel153">
    <w:name w:val="ListLabel 153"/>
    <w:qFormat/>
    <w:rPr>
      <w:color w:val="000000"/>
    </w:rPr>
  </w:style>
  <w:style w:type="character" w:styleId="ListLabel154">
    <w:name w:val="ListLabel 154"/>
    <w:qFormat/>
    <w:rPr>
      <w:b/>
    </w:rPr>
  </w:style>
  <w:style w:type="character" w:styleId="ListLabel155">
    <w:name w:val="ListLabel 155"/>
    <w:qFormat/>
    <w:rPr>
      <w:b w:val="false"/>
    </w:rPr>
  </w:style>
  <w:style w:type="character" w:styleId="ListLabel156">
    <w:name w:val="ListLabel 156"/>
    <w:qFormat/>
    <w:rPr>
      <w:b/>
    </w:rPr>
  </w:style>
  <w:style w:type="character" w:styleId="ListLabel157">
    <w:name w:val="ListLabel 157"/>
    <w:qFormat/>
    <w:rPr>
      <w:b w:val="false"/>
      <w:i w:val="false"/>
      <w:iCs/>
    </w:rPr>
  </w:style>
  <w:style w:type="character" w:styleId="ListLabel158">
    <w:name w:val="ListLabel 158"/>
    <w:qFormat/>
    <w:rPr>
      <w:rFonts w:cs="Arial"/>
      <w:b w:val="false"/>
      <w:i w:val="false"/>
      <w:iCs/>
      <w:color w:val="auto"/>
    </w:rPr>
  </w:style>
  <w:style w:type="character" w:styleId="ListLabel159">
    <w:name w:val="ListLabel 159"/>
    <w:qFormat/>
    <w:rPr>
      <w:b/>
    </w:rPr>
  </w:style>
  <w:style w:type="character" w:styleId="ListLabel160">
    <w:name w:val="ListLabel 160"/>
    <w:qFormat/>
    <w:rPr>
      <w:b w:val="false"/>
      <w:i w:val="false"/>
      <w:iCs/>
    </w:rPr>
  </w:style>
  <w:style w:type="character" w:styleId="ListLabel161">
    <w:name w:val="ListLabel 161"/>
    <w:qFormat/>
    <w:rPr>
      <w:b w:val="false"/>
      <w:i w:val="false"/>
      <w:iCs/>
      <w:color w:val="auto"/>
    </w:rPr>
  </w:style>
  <w:style w:type="character" w:styleId="ListLabel162">
    <w:name w:val="ListLabel 162"/>
    <w:qFormat/>
    <w:rPr>
      <w:rFonts w:eastAsia="Calibri" w:cs="Arial"/>
      <w:szCs w:val="20"/>
    </w:rPr>
  </w:style>
  <w:style w:type="character" w:styleId="ListLabel163">
    <w:name w:val="ListLabel 163"/>
    <w:qFormat/>
    <w:rPr>
      <w:rFonts w:eastAsia="Calibri" w:cs="Arial"/>
      <w:lang w:eastAsia="ar-SA"/>
    </w:rPr>
  </w:style>
  <w:style w:type="character" w:styleId="ListLabel164">
    <w:name w:val="ListLabel 164"/>
    <w:qFormat/>
    <w:rPr>
      <w:color w:val="000000"/>
    </w:rPr>
  </w:style>
  <w:style w:type="paragraph" w:styleId="Ttulo">
    <w:name w:val="Título"/>
    <w:basedOn w:val="Normal"/>
    <w:next w:val="Corpodetexto"/>
    <w:qFormat/>
    <w:pPr>
      <w:keepNext w:val="true"/>
      <w:spacing w:before="240" w:after="120"/>
    </w:pPr>
    <w:rPr>
      <w:rFonts w:ascii="Liberation Sans" w:hAnsi="Liberation Sans" w:eastAsia="Noto Sans CJK SC" w:cs="Lohit Marathi"/>
      <w:sz w:val="28"/>
      <w:szCs w:val="28"/>
    </w:rPr>
  </w:style>
  <w:style w:type="paragraph" w:styleId="Corpodetexto">
    <w:name w:val="Body Text"/>
    <w:basedOn w:val="Normal"/>
    <w:pPr>
      <w:spacing w:lineRule="auto" w:line="276" w:before="0" w:after="140"/>
    </w:pPr>
    <w:rPr/>
  </w:style>
  <w:style w:type="paragraph" w:styleId="Lista">
    <w:name w:val="List"/>
    <w:basedOn w:val="Corpodetexto"/>
    <w:pPr/>
    <w:rPr>
      <w:rFonts w:cs="Lohit Marathi"/>
    </w:rPr>
  </w:style>
  <w:style w:type="paragraph" w:styleId="Legenda">
    <w:name w:val="Caption"/>
    <w:basedOn w:val="Normal"/>
    <w:qFormat/>
    <w:pPr>
      <w:suppressLineNumbers/>
      <w:spacing w:before="120" w:after="120"/>
    </w:pPr>
    <w:rPr>
      <w:rFonts w:cs="Lohit Marathi"/>
      <w:i/>
      <w:iCs/>
      <w:sz w:val="24"/>
      <w:szCs w:val="24"/>
    </w:rPr>
  </w:style>
  <w:style w:type="paragraph" w:styleId="Ndice">
    <w:name w:val="Índice"/>
    <w:basedOn w:val="Normal"/>
    <w:qFormat/>
    <w:pPr>
      <w:suppressLineNumbers/>
    </w:pPr>
    <w:rPr>
      <w:rFonts w:cs="Lohit Marathi"/>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val="clear" w:fill="FFFFCC"/>
      <w:spacing w:before="120" w:after="0"/>
      <w:jc w:val="both"/>
    </w:pPr>
    <w:rPr>
      <w:rFonts w:eastAsia="Calibri"/>
      <w:i/>
      <w:iCs/>
      <w:color w:val="000000"/>
      <w:lang w:eastAsia="en-US"/>
    </w:rPr>
  </w:style>
  <w:style w:type="paragraph" w:styleId="Nivel01">
    <w:name w:val="Nivel 01"/>
    <w:basedOn w:val="Ttulo1"/>
    <w:next w:val="Normal"/>
    <w:qFormat/>
    <w:pPr>
      <w:spacing w:lineRule="auto" w:line="276" w:before="480" w:after="120"/>
      <w:ind w:left="0" w:right="-15" w:hanging="0"/>
      <w:jc w:val="both"/>
    </w:pPr>
    <w:rPr>
      <w:rFonts w:ascii="Arial" w:hAnsi="Arial" w:cs="Times New Roman"/>
      <w:b/>
      <w:bCs/>
      <w:color w:val="000000"/>
      <w:sz w:val="20"/>
      <w:szCs w:val="20"/>
    </w:rPr>
  </w:style>
  <w:style w:type="paragraph" w:styleId="PADRO">
    <w:name w:val="PADRÃO"/>
    <w:qFormat/>
    <w:pPr>
      <w:keepNext w:val="true"/>
      <w:widowControl w:val="false"/>
      <w:shd w:val="clear" w:fill="FFFFFF"/>
      <w:overflowPunct w:val="false"/>
      <w:bidi w:val="0"/>
      <w:spacing w:lineRule="auto" w:line="276" w:before="119" w:after="119"/>
      <w:ind w:left="0" w:right="0"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ListParagraph">
    <w:name w:val="List Paragraph"/>
    <w:basedOn w:val="Normal"/>
    <w:qFormat/>
    <w:pPr>
      <w:spacing w:before="0" w:after="0"/>
      <w:ind w:left="720" w:right="0" w:hanging="0"/>
      <w:contextualSpacing/>
    </w:pPr>
    <w:rPr/>
  </w:style>
  <w:style w:type="paragraph" w:styleId="Citao2">
    <w:name w:val="citação 2"/>
    <w:basedOn w:val="Quote"/>
    <w:qFormat/>
    <w:pPr>
      <w:shd w:val="clear" w:fill="FFFFCC"/>
    </w:pPr>
    <w:rPr>
      <w:szCs w:val="20"/>
    </w:rPr>
  </w:style>
  <w:style w:type="paragraph" w:styleId="Citao1">
    <w:name w:val="Citação1"/>
    <w:basedOn w:val="Normal"/>
    <w:next w:val="Normal"/>
    <w:qFormat/>
    <w:pPr>
      <w:pBdr>
        <w:top w:val="single" w:sz="4" w:space="1" w:color="1F497D"/>
        <w:left w:val="single" w:sz="4" w:space="4" w:color="1F497D"/>
        <w:bottom w:val="single" w:sz="4" w:space="1" w:color="1F497D"/>
        <w:right w:val="single" w:sz="4" w:space="4" w:color="1F497D"/>
      </w:pBdr>
      <w:shd w:val="clear" w:fill="FFFFCC"/>
      <w:spacing w:before="120" w:after="0"/>
      <w:jc w:val="both"/>
    </w:pPr>
    <w:rPr>
      <w:rFonts w:ascii="Ecofont_Spranq_eco_Sans" w:hAnsi="Ecofont_Spranq_eco_Sans" w:eastAsia="Calibri"/>
      <w:i/>
      <w:iCs/>
      <w:color w:val="000000"/>
      <w:sz w:val="22"/>
      <w:szCs w:val="22"/>
      <w:lang w:eastAsia="en-US"/>
    </w:rPr>
  </w:style>
  <w:style w:type="paragraph" w:styleId="Annotationtext">
    <w:name w:val="annotation text"/>
    <w:basedOn w:val="Normal"/>
    <w:qFormat/>
    <w:pPr/>
    <w:rPr>
      <w:szCs w:val="20"/>
    </w:rPr>
  </w:style>
  <w:style w:type="paragraph" w:styleId="Annotationsubject">
    <w:name w:val="annotation subject"/>
    <w:basedOn w:val="Annotationtext"/>
    <w:qFormat/>
    <w:pPr/>
    <w:rPr>
      <w:b/>
      <w:bCs/>
    </w:rPr>
  </w:style>
  <w:style w:type="paragraph" w:styleId="Nivel1">
    <w:name w:val="Nivel1"/>
    <w:basedOn w:val="Ttulo1"/>
    <w:qFormat/>
    <w:pPr>
      <w:spacing w:lineRule="auto" w:line="276" w:before="480" w:after="0"/>
      <w:ind w:left="644" w:right="0" w:hanging="360"/>
      <w:jc w:val="both"/>
    </w:pPr>
    <w:rPr>
      <w:rFonts w:ascii="Arial" w:hAnsi="Arial" w:cs="Times New Roman"/>
      <w:b/>
      <w:color w:val="000000"/>
      <w:sz w:val="20"/>
      <w:szCs w:val="20"/>
    </w:rPr>
  </w:style>
  <w:style w:type="paragraph" w:styleId="Nivel2">
    <w:name w:val="Nivel 2"/>
    <w:qFormat/>
    <w:pPr>
      <w:widowControl/>
      <w:overflowPunct w:val="fals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name w:val="Nivel 1"/>
    <w:basedOn w:val="Nivel2"/>
    <w:qFormat/>
    <w:pPr/>
    <w:rPr>
      <w:rFonts w:cs="Arial"/>
      <w:b/>
    </w:rPr>
  </w:style>
  <w:style w:type="paragraph" w:styleId="Nivel3">
    <w:name w:val="Nivel 3"/>
    <w:basedOn w:val="Nivel2"/>
    <w:qFormat/>
    <w:pPr/>
    <w:rPr>
      <w:rFonts w:cs="Arial"/>
      <w:color w:val="000000"/>
    </w:rPr>
  </w:style>
  <w:style w:type="paragraph" w:styleId="Nivel4">
    <w:name w:val="Nivel 4"/>
    <w:basedOn w:val="Nivel3"/>
    <w:qFormat/>
    <w:pPr/>
    <w:rPr>
      <w:color w:val="auto"/>
    </w:rPr>
  </w:style>
  <w:style w:type="paragraph" w:styleId="Nivel5">
    <w:name w:val="Nivel 5"/>
    <w:basedOn w:val="Nivel4"/>
    <w:qFormat/>
    <w:pPr>
      <w:tabs>
        <w:tab w:val="left" w:pos="360" w:leader="none"/>
      </w:tabs>
    </w:pPr>
    <w:rPr/>
  </w:style>
  <w:style w:type="paragraph" w:styleId="BalloonText">
    <w:name w:val="Balloon Text"/>
    <w:basedOn w:val="Normal"/>
    <w:qFormat/>
    <w:pPr/>
    <w:rPr>
      <w:rFonts w:ascii="Segoe UI" w:hAnsi="Segoe UI" w:cs="Segoe UI"/>
      <w:sz w:val="18"/>
      <w:szCs w:val="18"/>
    </w:rPr>
  </w:style>
  <w:style w:type="paragraph" w:styleId="Cabealho">
    <w:name w:val="Header"/>
    <w:basedOn w:val="Normal"/>
    <w:pPr>
      <w:tabs>
        <w:tab w:val="center" w:pos="4252" w:leader="none"/>
        <w:tab w:val="right" w:pos="8504" w:leader="none"/>
      </w:tabs>
    </w:pPr>
    <w:rPr/>
  </w:style>
  <w:style w:type="paragraph" w:styleId="Rodap">
    <w:name w:val="Footer"/>
    <w:basedOn w:val="Normal"/>
    <w:pPr>
      <w:tabs>
        <w:tab w:val="center" w:pos="4252" w:leader="none"/>
        <w:tab w:val="right" w:pos="8504" w:leader="none"/>
      </w:tabs>
    </w:pPr>
    <w:rPr/>
  </w:style>
  <w:style w:type="paragraph" w:styleId="Standard">
    <w:name w:val="Standard"/>
    <w:qFormat/>
    <w:pPr>
      <w:widowControl/>
      <w:suppressAutoHyphens w:val="true"/>
      <w:overflowPunct w:val="false"/>
      <w:bidi w:val="0"/>
      <w:jc w:val="left"/>
      <w:textAlignment w:val="baseline"/>
    </w:pPr>
    <w:rPr>
      <w:rFonts w:ascii="Calibri" w:hAnsi="Calibri" w:eastAsia="Calibri" w:cs="DejaVu Sans"/>
      <w:color w:val="auto"/>
      <w:kern w:val="0"/>
      <w:sz w:val="20"/>
      <w:szCs w:val="22"/>
      <w:lang w:val="pt-BR" w:eastAsia="en-US" w:bidi="ar-SA"/>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numbering" w:styleId="NoList">
    <w:name w:val="No List"/>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planalto.gov.br/ccivil_03/LEIS/L6404consol.htm"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footer" Target="footer1.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Normal.dotm</Template>
  <TotalTime>772</TotalTime>
  <Application>LibreOffice/6.0.7.3$Linux_X86_64 LibreOffice_project/00m0$Build-3</Application>
  <Pages>11</Pages>
  <Words>5340</Words>
  <Characters>30235</Characters>
  <CharactersWithSpaces>35725</CharactersWithSpaces>
  <Paragraphs>401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2021-08-05T16:35:00Z</dcterms:created>
  <dc:creator>Hugo Sales</dc:creator>
  <dc:description/>
  <dc:language>pt-BR</dc:language>
  <cp:lastModifiedBy/>
  <cp:lastPrinted>2022-05-23T14:27:45Z</cp:lastPrinted>
  <dcterms:modified xsi:type="dcterms:W3CDTF">2022-05-23T14:38:46Z</dcterms:modified>
  <cp:revision>109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